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Date:</w:t>
      </w:r>
      <w:r w:rsidRPr="00105C67">
        <w:rPr>
          <w:rFonts w:cs="Arial"/>
          <w:sz w:val="23"/>
          <w:szCs w:val="23"/>
        </w:rPr>
        <w:tab/>
      </w:r>
      <w:r w:rsidR="00B931DB" w:rsidRPr="00105C67">
        <w:rPr>
          <w:rFonts w:cs="Arial"/>
          <w:sz w:val="23"/>
          <w:szCs w:val="23"/>
        </w:rPr>
        <w:t>Tuesday, December 16</w:t>
      </w:r>
      <w:r w:rsidR="00404EA6" w:rsidRPr="00105C67">
        <w:rPr>
          <w:rFonts w:cs="Arial"/>
          <w:sz w:val="23"/>
          <w:szCs w:val="23"/>
        </w:rPr>
        <w:t>, 2014</w:t>
      </w:r>
    </w:p>
    <w:p w:rsidR="0012400F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Place:</w:t>
      </w:r>
      <w:r w:rsidRPr="00105C67">
        <w:rPr>
          <w:rFonts w:cs="Arial"/>
          <w:sz w:val="23"/>
          <w:szCs w:val="23"/>
        </w:rPr>
        <w:tab/>
      </w:r>
      <w:r w:rsidR="0073401F" w:rsidRPr="00105C67">
        <w:rPr>
          <w:rFonts w:cs="Arial"/>
          <w:sz w:val="23"/>
          <w:szCs w:val="23"/>
        </w:rPr>
        <w:t>Engelmann 242/24</w:t>
      </w:r>
      <w:r w:rsidR="00F376DB" w:rsidRPr="00105C67">
        <w:rPr>
          <w:rFonts w:cs="Arial"/>
          <w:sz w:val="23"/>
          <w:szCs w:val="23"/>
        </w:rPr>
        <w:t>8</w:t>
      </w:r>
    </w:p>
    <w:p w:rsidR="0012400F" w:rsidRPr="00105C67" w:rsidRDefault="006013B1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Time:</w:t>
      </w:r>
      <w:r w:rsidRPr="00105C67">
        <w:rPr>
          <w:rFonts w:cs="Arial"/>
          <w:sz w:val="23"/>
          <w:szCs w:val="23"/>
        </w:rPr>
        <w:tab/>
        <w:t>1:00 – 2</w:t>
      </w:r>
      <w:r w:rsidR="00820E0A" w:rsidRPr="00105C67">
        <w:rPr>
          <w:rFonts w:cs="Arial"/>
          <w:sz w:val="23"/>
          <w:szCs w:val="23"/>
        </w:rPr>
        <w:t>:00</w:t>
      </w:r>
    </w:p>
    <w:p w:rsidR="00820E0A" w:rsidRPr="00105C67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  <w:bookmarkStart w:id="0" w:name="_GoBack"/>
      <w:bookmarkEnd w:id="0"/>
    </w:p>
    <w:p w:rsidR="000F6855" w:rsidRPr="00105C67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  <w:r w:rsidRPr="00105C67">
        <w:rPr>
          <w:rFonts w:cs="Arial"/>
          <w:b/>
          <w:sz w:val="23"/>
          <w:szCs w:val="23"/>
        </w:rPr>
        <w:t>AGENDA</w:t>
      </w:r>
    </w:p>
    <w:p w:rsidR="00042AAA" w:rsidRPr="00105C67" w:rsidRDefault="00042AAA" w:rsidP="00042AAA">
      <w:pPr>
        <w:pStyle w:val="NoSpacing"/>
        <w:rPr>
          <w:sz w:val="23"/>
          <w:szCs w:val="23"/>
        </w:rPr>
      </w:pPr>
    </w:p>
    <w:p w:rsidR="00042AAA" w:rsidRPr="00071269" w:rsidRDefault="00F01F38" w:rsidP="00042AAA">
      <w:pPr>
        <w:pStyle w:val="NoSpacing"/>
        <w:numPr>
          <w:ilvl w:val="0"/>
          <w:numId w:val="16"/>
        </w:numPr>
      </w:pPr>
      <w:r w:rsidRPr="00071269">
        <w:t>Timeline status c</w:t>
      </w:r>
      <w:r w:rsidR="00FC68E1" w:rsidRPr="00071269">
        <w:t xml:space="preserve">heck </w:t>
      </w:r>
    </w:p>
    <w:p w:rsidR="00FC68E1" w:rsidRPr="00071269" w:rsidRDefault="003817AD" w:rsidP="00042AAA">
      <w:pPr>
        <w:pStyle w:val="ListParagraph"/>
        <w:numPr>
          <w:ilvl w:val="0"/>
          <w:numId w:val="24"/>
        </w:numPr>
        <w:rPr>
          <w:b/>
          <w:color w:val="FF0000"/>
        </w:rPr>
      </w:pPr>
      <w:r w:rsidRPr="00071269">
        <w:rPr>
          <w:color w:val="FF0000"/>
        </w:rPr>
        <w:t xml:space="preserve">Our goal is to achieve FAA green office certification by April 2015. </w:t>
      </w:r>
      <w:r w:rsidRPr="00071269">
        <w:rPr>
          <w:b/>
          <w:color w:val="FF0000"/>
        </w:rPr>
        <w:t>We’re currently in the green credit implementation/documentation phase so it’s important for all team members to have ongoing discussions with your areas.</w:t>
      </w:r>
    </w:p>
    <w:p w:rsidR="00820E0A" w:rsidRPr="00071269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00071269">
        <w:t xml:space="preserve">Updates: </w:t>
      </w:r>
    </w:p>
    <w:p w:rsidR="00754E11" w:rsidRPr="00071269" w:rsidRDefault="00754E11" w:rsidP="008D25A0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071269">
        <w:rPr>
          <w:color w:val="000000" w:themeColor="text1"/>
        </w:rPr>
        <w:t>Department Rep</w:t>
      </w:r>
      <w:r w:rsidR="00CF6FDE" w:rsidRPr="00071269">
        <w:rPr>
          <w:color w:val="000000" w:themeColor="text1"/>
        </w:rPr>
        <w:t>resentative Status Report [All team m</w:t>
      </w:r>
      <w:r w:rsidRPr="00071269">
        <w:rPr>
          <w:color w:val="000000" w:themeColor="text1"/>
        </w:rPr>
        <w:t>embers]</w:t>
      </w:r>
    </w:p>
    <w:p w:rsidR="00027DC5" w:rsidRPr="00071269" w:rsidRDefault="002908ED" w:rsidP="00027DC5">
      <w:pPr>
        <w:pStyle w:val="NoSpacing"/>
        <w:numPr>
          <w:ilvl w:val="0"/>
          <w:numId w:val="25"/>
        </w:numPr>
        <w:rPr>
          <w:color w:val="FF0000"/>
        </w:rPr>
      </w:pPr>
      <w:r w:rsidRPr="00071269">
        <w:rPr>
          <w:color w:val="FF0000"/>
        </w:rPr>
        <w:t>Many depar</w:t>
      </w:r>
      <w:r w:rsidR="003E4E5A" w:rsidRPr="00071269">
        <w:rPr>
          <w:color w:val="FF0000"/>
        </w:rPr>
        <w:t>tment reps</w:t>
      </w:r>
      <w:r w:rsidRPr="00071269">
        <w:rPr>
          <w:color w:val="FF0000"/>
        </w:rPr>
        <w:t xml:space="preserve"> reported that they are making good progress </w:t>
      </w:r>
      <w:r w:rsidR="008A040B" w:rsidRPr="00071269">
        <w:rPr>
          <w:color w:val="FF0000"/>
        </w:rPr>
        <w:t>with green credit implementation and documentation</w:t>
      </w:r>
      <w:r w:rsidR="002D73E2" w:rsidRPr="00071269">
        <w:rPr>
          <w:color w:val="FF0000"/>
        </w:rPr>
        <w:t>.</w:t>
      </w:r>
      <w:r w:rsidR="00120E14">
        <w:rPr>
          <w:color w:val="FF0000"/>
        </w:rPr>
        <w:t xml:space="preserve"> </w:t>
      </w:r>
    </w:p>
    <w:p w:rsidR="00027DC5" w:rsidRPr="00071269" w:rsidRDefault="00027DC5" w:rsidP="00027DC5">
      <w:pPr>
        <w:pStyle w:val="NoSpacing"/>
        <w:rPr>
          <w:color w:val="000000" w:themeColor="text1"/>
        </w:rPr>
      </w:pPr>
    </w:p>
    <w:p w:rsidR="00D718A0" w:rsidRPr="00071269" w:rsidRDefault="00F16D57" w:rsidP="00D718A0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071269">
        <w:rPr>
          <w:color w:val="000000" w:themeColor="text1"/>
        </w:rPr>
        <w:t>Sustainability Training [Kate/Peter]</w:t>
      </w:r>
    </w:p>
    <w:p w:rsidR="00D718A0" w:rsidRPr="00071269" w:rsidRDefault="00D718A0" w:rsidP="00D718A0">
      <w:pPr>
        <w:pStyle w:val="NoSpacing"/>
        <w:numPr>
          <w:ilvl w:val="0"/>
          <w:numId w:val="26"/>
        </w:numPr>
        <w:rPr>
          <w:color w:val="FF0000"/>
        </w:rPr>
      </w:pPr>
      <w:r w:rsidRPr="00071269">
        <w:rPr>
          <w:color w:val="FF0000"/>
        </w:rPr>
        <w:t xml:space="preserve">The </w:t>
      </w:r>
      <w:r w:rsidR="00A24CDD" w:rsidRPr="00071269">
        <w:rPr>
          <w:color w:val="FF0000"/>
        </w:rPr>
        <w:t xml:space="preserve">edited </w:t>
      </w:r>
      <w:r w:rsidRPr="00071269">
        <w:rPr>
          <w:color w:val="FF0000"/>
        </w:rPr>
        <w:t xml:space="preserve">video of Kate’s 12/12/14 Sustainability Training session is available to </w:t>
      </w:r>
      <w:r w:rsidR="00BC7979" w:rsidRPr="00071269">
        <w:rPr>
          <w:color w:val="FF0000"/>
        </w:rPr>
        <w:t>all</w:t>
      </w:r>
      <w:r w:rsidRPr="00071269">
        <w:rPr>
          <w:color w:val="FF0000"/>
        </w:rPr>
        <w:t xml:space="preserve"> campus staff at the following: </w:t>
      </w:r>
    </w:p>
    <w:p w:rsidR="00D718A0" w:rsidRPr="006E6B42" w:rsidRDefault="00D718A0" w:rsidP="002F7AAF">
      <w:pPr>
        <w:pStyle w:val="NoSpacing"/>
        <w:numPr>
          <w:ilvl w:val="1"/>
          <w:numId w:val="26"/>
        </w:numPr>
        <w:rPr>
          <w:color w:val="FF0000"/>
        </w:rPr>
      </w:pPr>
      <w:r w:rsidRPr="00071269">
        <w:rPr>
          <w:color w:val="FF0000"/>
        </w:rPr>
        <w:t xml:space="preserve">Link:  </w:t>
      </w:r>
      <w:hyperlink r:id="rId8" w:history="1">
        <w:r w:rsidRPr="006E6B42">
          <w:rPr>
            <w:rStyle w:val="Hyperlink"/>
            <w:color w:val="548DD4" w:themeColor="text2" w:themeTint="99"/>
          </w:rPr>
          <w:t>http://lubar.mediasite.com/mediasite/Catalog/Full/28721e2087744d78a7783548c25b0cdf21</w:t>
        </w:r>
      </w:hyperlink>
      <w:r w:rsidRPr="006E6B42">
        <w:rPr>
          <w:color w:val="FF0000"/>
        </w:rPr>
        <w:t xml:space="preserve"> </w:t>
      </w:r>
    </w:p>
    <w:p w:rsidR="00D718A0" w:rsidRPr="006E6B42" w:rsidRDefault="00D718A0" w:rsidP="00D718A0">
      <w:pPr>
        <w:pStyle w:val="NoSpacing"/>
        <w:numPr>
          <w:ilvl w:val="1"/>
          <w:numId w:val="26"/>
        </w:numPr>
        <w:rPr>
          <w:color w:val="FF0000"/>
        </w:rPr>
      </w:pPr>
      <w:r w:rsidRPr="006E6B42">
        <w:rPr>
          <w:color w:val="FF0000"/>
        </w:rPr>
        <w:t>Login:  </w:t>
      </w:r>
      <w:proofErr w:type="spellStart"/>
      <w:r w:rsidRPr="006E6B42">
        <w:rPr>
          <w:color w:val="FF0000"/>
        </w:rPr>
        <w:t>faagreen</w:t>
      </w:r>
      <w:proofErr w:type="spellEnd"/>
      <w:r w:rsidRPr="006E6B42">
        <w:rPr>
          <w:color w:val="FF0000"/>
        </w:rPr>
        <w:t xml:space="preserve">  </w:t>
      </w:r>
    </w:p>
    <w:p w:rsidR="00D718A0" w:rsidRPr="00071269" w:rsidRDefault="00D718A0" w:rsidP="00D718A0">
      <w:pPr>
        <w:pStyle w:val="NoSpacing"/>
        <w:numPr>
          <w:ilvl w:val="1"/>
          <w:numId w:val="26"/>
        </w:numPr>
        <w:rPr>
          <w:b/>
          <w:color w:val="FF0000"/>
        </w:rPr>
      </w:pPr>
      <w:r w:rsidRPr="006E6B42">
        <w:rPr>
          <w:color w:val="FF0000"/>
        </w:rPr>
        <w:t>Password:  Ljk22wdY6</w:t>
      </w:r>
      <w:r w:rsidRPr="00071269">
        <w:rPr>
          <w:b/>
          <w:color w:val="FF0000"/>
        </w:rPr>
        <w:t xml:space="preserve"> </w:t>
      </w:r>
    </w:p>
    <w:p w:rsidR="003E4E5A" w:rsidRPr="00071269" w:rsidRDefault="003E4E5A" w:rsidP="003E4E5A">
      <w:pPr>
        <w:pStyle w:val="NoSpacing"/>
        <w:ind w:left="1440"/>
        <w:rPr>
          <w:b/>
          <w:color w:val="FF0000"/>
        </w:rPr>
      </w:pPr>
    </w:p>
    <w:p w:rsidR="00BC7979" w:rsidRPr="002F7AAF" w:rsidRDefault="00BC7979" w:rsidP="00BC7979">
      <w:pPr>
        <w:pStyle w:val="NoSpacing"/>
        <w:numPr>
          <w:ilvl w:val="0"/>
          <w:numId w:val="26"/>
        </w:numPr>
        <w:rPr>
          <w:color w:val="FF0000"/>
        </w:rPr>
      </w:pPr>
      <w:r w:rsidRPr="00071269">
        <w:rPr>
          <w:color w:val="FF0000"/>
        </w:rPr>
        <w:t xml:space="preserve">The training materials are located in our shared </w:t>
      </w:r>
      <w:proofErr w:type="spellStart"/>
      <w:r w:rsidRPr="00071269">
        <w:rPr>
          <w:color w:val="FF0000"/>
        </w:rPr>
        <w:t>PantherFile</w:t>
      </w:r>
      <w:proofErr w:type="spellEnd"/>
      <w:r w:rsidRPr="00071269">
        <w:rPr>
          <w:color w:val="FF0000"/>
        </w:rPr>
        <w:t xml:space="preserve"> folder, accessible to all green team members at  </w:t>
      </w:r>
      <w:hyperlink r:id="rId9" w:history="1">
        <w:r w:rsidRPr="002F7AAF">
          <w:rPr>
            <w:color w:val="548DD4" w:themeColor="text2" w:themeTint="99"/>
            <w:u w:val="single"/>
          </w:rPr>
          <w:t>https://pantherfile.uwm.edu/xythoswfs/webview/_xy-39693914_1</w:t>
        </w:r>
      </w:hyperlink>
    </w:p>
    <w:p w:rsidR="00AC3926" w:rsidRPr="00071269" w:rsidRDefault="00AC3926" w:rsidP="00AC3926">
      <w:pPr>
        <w:pStyle w:val="NoSpacing"/>
        <w:rPr>
          <w:color w:val="000000" w:themeColor="text1"/>
        </w:rPr>
      </w:pPr>
    </w:p>
    <w:p w:rsidR="00A24CDD" w:rsidRPr="00071269" w:rsidRDefault="004E2880" w:rsidP="00A24CDD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071269">
        <w:rPr>
          <w:color w:val="000000" w:themeColor="text1"/>
        </w:rPr>
        <w:t xml:space="preserve">Next E-blast: </w:t>
      </w:r>
      <w:r w:rsidR="00205FC8" w:rsidRPr="00071269">
        <w:rPr>
          <w:color w:val="000000" w:themeColor="text1"/>
        </w:rPr>
        <w:t>Multi-function leased copier</w:t>
      </w:r>
      <w:r w:rsidR="00B16C04" w:rsidRPr="00071269">
        <w:rPr>
          <w:color w:val="000000" w:themeColor="text1"/>
        </w:rPr>
        <w:t xml:space="preserve"> d</w:t>
      </w:r>
      <w:r w:rsidR="00042AAA" w:rsidRPr="00071269">
        <w:rPr>
          <w:color w:val="000000" w:themeColor="text1"/>
        </w:rPr>
        <w:t>uplex printing default</w:t>
      </w:r>
      <w:r w:rsidR="00754E11" w:rsidRPr="00071269">
        <w:rPr>
          <w:color w:val="000000" w:themeColor="text1"/>
        </w:rPr>
        <w:t xml:space="preserve"> </w:t>
      </w:r>
      <w:r w:rsidR="00B16C04" w:rsidRPr="00071269">
        <w:rPr>
          <w:color w:val="000000" w:themeColor="text1"/>
        </w:rPr>
        <w:t>[</w:t>
      </w:r>
      <w:r w:rsidR="00754E11" w:rsidRPr="00071269">
        <w:rPr>
          <w:color w:val="000000" w:themeColor="text1"/>
        </w:rPr>
        <w:t>Beth/</w:t>
      </w:r>
      <w:r w:rsidR="00B16C04" w:rsidRPr="00071269">
        <w:rPr>
          <w:color w:val="000000" w:themeColor="text1"/>
        </w:rPr>
        <w:t>Peter]</w:t>
      </w:r>
      <w:r w:rsidR="003E4E5A" w:rsidRPr="00071269">
        <w:rPr>
          <w:color w:val="000000" w:themeColor="text1"/>
        </w:rPr>
        <w:t xml:space="preserve"> </w:t>
      </w:r>
    </w:p>
    <w:p w:rsidR="00AC3926" w:rsidRPr="00071269" w:rsidRDefault="00A24CDD" w:rsidP="00A24CDD">
      <w:pPr>
        <w:pStyle w:val="NoSpacing"/>
        <w:numPr>
          <w:ilvl w:val="0"/>
          <w:numId w:val="27"/>
        </w:numPr>
        <w:rPr>
          <w:color w:val="FF0000"/>
        </w:rPr>
      </w:pPr>
      <w:r w:rsidRPr="00071269">
        <w:rPr>
          <w:color w:val="FF0000"/>
        </w:rPr>
        <w:t>Beth and Betsy will work on this E-blast and share a draft at the next meeting.</w:t>
      </w:r>
    </w:p>
    <w:p w:rsidR="00AC3926" w:rsidRPr="00071269" w:rsidRDefault="00AC3926" w:rsidP="00AC3926">
      <w:pPr>
        <w:pStyle w:val="NoSpacing"/>
        <w:rPr>
          <w:color w:val="000000" w:themeColor="text1"/>
        </w:rPr>
      </w:pPr>
    </w:p>
    <w:p w:rsidR="004E12FB" w:rsidRPr="00071269" w:rsidRDefault="00F16D57" w:rsidP="00F16D57">
      <w:pPr>
        <w:pStyle w:val="NoSpacing"/>
        <w:numPr>
          <w:ilvl w:val="0"/>
          <w:numId w:val="23"/>
        </w:numPr>
      </w:pPr>
      <w:r w:rsidRPr="00071269">
        <w:rPr>
          <w:color w:val="000000" w:themeColor="text1"/>
        </w:rPr>
        <w:t>Break Room</w:t>
      </w:r>
      <w:r w:rsidR="00754E11" w:rsidRPr="00071269">
        <w:rPr>
          <w:color w:val="000000" w:themeColor="text1"/>
        </w:rPr>
        <w:t xml:space="preserve"> [Kurt/</w:t>
      </w:r>
      <w:r w:rsidR="00754E11" w:rsidRPr="00071269">
        <w:t>Mary]</w:t>
      </w:r>
    </w:p>
    <w:p w:rsidR="00AC3926" w:rsidRPr="00071269" w:rsidRDefault="00062382" w:rsidP="00AC3926">
      <w:pPr>
        <w:pStyle w:val="NoSpacing"/>
        <w:numPr>
          <w:ilvl w:val="0"/>
          <w:numId w:val="27"/>
        </w:numPr>
        <w:rPr>
          <w:color w:val="FF0000"/>
        </w:rPr>
      </w:pPr>
      <w:r w:rsidRPr="00071269">
        <w:rPr>
          <w:color w:val="FF0000"/>
        </w:rPr>
        <w:t>Update</w:t>
      </w:r>
      <w:r w:rsidR="003E4E5A" w:rsidRPr="00071269">
        <w:rPr>
          <w:color w:val="FF0000"/>
        </w:rPr>
        <w:t xml:space="preserve"> to be provided at next meeting </w:t>
      </w:r>
    </w:p>
    <w:p w:rsidR="00AC3926" w:rsidRPr="00071269" w:rsidRDefault="00AC3926" w:rsidP="00AC3926">
      <w:pPr>
        <w:pStyle w:val="NoSpacing"/>
      </w:pPr>
    </w:p>
    <w:p w:rsidR="00FC68E1" w:rsidRPr="00071269" w:rsidRDefault="00F16D57" w:rsidP="00FC68E1">
      <w:pPr>
        <w:pStyle w:val="NoSpacing"/>
        <w:numPr>
          <w:ilvl w:val="0"/>
          <w:numId w:val="23"/>
        </w:numPr>
      </w:pPr>
      <w:r w:rsidRPr="00071269">
        <w:rPr>
          <w:color w:val="000000" w:themeColor="text1"/>
        </w:rPr>
        <w:t>Green credits that qualify for a walkthrough vs. documentation [Kate/John]</w:t>
      </w:r>
    </w:p>
    <w:p w:rsidR="00A71026" w:rsidRPr="00071269" w:rsidRDefault="00A24CDD" w:rsidP="00C67619">
      <w:pPr>
        <w:numPr>
          <w:ilvl w:val="0"/>
          <w:numId w:val="27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Kate</w:t>
      </w:r>
      <w:r w:rsidR="00A71026" w:rsidRPr="00071269">
        <w:rPr>
          <w:color w:val="FF0000"/>
        </w:rPr>
        <w:t xml:space="preserve">’s list of </w:t>
      </w:r>
      <w:r w:rsidRPr="00071269">
        <w:rPr>
          <w:color w:val="FF0000"/>
        </w:rPr>
        <w:t>green credits that qualify for a walk-throu</w:t>
      </w:r>
      <w:r w:rsidR="00A71026" w:rsidRPr="00071269">
        <w:rPr>
          <w:color w:val="FF0000"/>
        </w:rPr>
        <w:t>gh in lieu of documentation were discussed – see below:</w:t>
      </w:r>
      <w:r w:rsidRPr="00071269">
        <w:rPr>
          <w:color w:val="FF0000"/>
        </w:rPr>
        <w:t xml:space="preserve"> 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Pre 4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Energy 4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Energy 6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Waste 1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Waste 3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Transportation 1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Purchasing 2</w:t>
      </w:r>
    </w:p>
    <w:p w:rsidR="00A71026" w:rsidRPr="00071269" w:rsidRDefault="00A71026" w:rsidP="00A71026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Food 1</w:t>
      </w:r>
    </w:p>
    <w:p w:rsidR="00A24CDD" w:rsidRPr="00071269" w:rsidRDefault="00A24CDD" w:rsidP="00FC68E1">
      <w:pPr>
        <w:pStyle w:val="NoSpacing"/>
      </w:pPr>
    </w:p>
    <w:p w:rsidR="009C5D9B" w:rsidRPr="00071269" w:rsidRDefault="004E12FB" w:rsidP="009C5D9B">
      <w:pPr>
        <w:pStyle w:val="NoSpacing"/>
        <w:numPr>
          <w:ilvl w:val="0"/>
          <w:numId w:val="22"/>
        </w:numPr>
      </w:pPr>
      <w:r w:rsidRPr="00071269">
        <w:t xml:space="preserve">Green Office </w:t>
      </w:r>
      <w:r w:rsidR="003034A5" w:rsidRPr="00071269">
        <w:t xml:space="preserve">Certification </w:t>
      </w:r>
      <w:r w:rsidRPr="00071269">
        <w:t>Credits</w:t>
      </w:r>
      <w:r w:rsidR="009E163F" w:rsidRPr="00071269">
        <w:t xml:space="preserve"> </w:t>
      </w:r>
    </w:p>
    <w:p w:rsidR="009C5D9B" w:rsidRPr="00071269" w:rsidRDefault="00042AAA" w:rsidP="009C5D9B">
      <w:pPr>
        <w:pStyle w:val="NoSpacing"/>
        <w:numPr>
          <w:ilvl w:val="0"/>
          <w:numId w:val="21"/>
        </w:numPr>
      </w:pPr>
      <w:r w:rsidRPr="00071269">
        <w:t>Review</w:t>
      </w:r>
      <w:r w:rsidR="003034A5" w:rsidRPr="00071269">
        <w:t xml:space="preserve"> </w:t>
      </w:r>
      <w:r w:rsidR="00F16D57" w:rsidRPr="00071269">
        <w:t>status of</w:t>
      </w:r>
      <w:r w:rsidR="003034A5" w:rsidRPr="00071269">
        <w:t xml:space="preserve"> </w:t>
      </w:r>
      <w:r w:rsidR="00440CC8" w:rsidRPr="00071269">
        <w:t xml:space="preserve">green </w:t>
      </w:r>
      <w:r w:rsidR="003034A5" w:rsidRPr="00071269">
        <w:t>credits</w:t>
      </w:r>
    </w:p>
    <w:p w:rsidR="009C5D9B" w:rsidRPr="00071269" w:rsidRDefault="00071269" w:rsidP="009C5D9B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</w:rPr>
      </w:pPr>
      <w:r w:rsidRPr="00071269">
        <w:rPr>
          <w:color w:val="FF0000"/>
        </w:rPr>
        <w:t>Discussed as part of 2.A. above</w:t>
      </w:r>
    </w:p>
    <w:p w:rsidR="00672517" w:rsidRPr="00071269" w:rsidRDefault="00672517" w:rsidP="00672517">
      <w:pPr>
        <w:pStyle w:val="NoSpacing"/>
      </w:pPr>
    </w:p>
    <w:p w:rsidR="002A5313" w:rsidRDefault="002A5313" w:rsidP="001030BA">
      <w:pPr>
        <w:pStyle w:val="NoSpacing"/>
        <w:numPr>
          <w:ilvl w:val="0"/>
          <w:numId w:val="21"/>
        </w:numPr>
      </w:pPr>
      <w:r w:rsidRPr="006E6B42">
        <w:t xml:space="preserve">In depth discussion of </w:t>
      </w:r>
      <w:r w:rsidR="00F16D57" w:rsidRPr="006E6B42">
        <w:t>Food &amp; Dining</w:t>
      </w:r>
      <w:r w:rsidRPr="006E6B42">
        <w:t xml:space="preserve"> credits</w:t>
      </w:r>
    </w:p>
    <w:p w:rsidR="002F7AAF" w:rsidRDefault="002F7AAF" w:rsidP="002F7AAF">
      <w:pPr>
        <w:pStyle w:val="NoSpacing"/>
      </w:pPr>
    </w:p>
    <w:p w:rsidR="002F7AAF" w:rsidRDefault="002F7AAF" w:rsidP="002F7AAF">
      <w:pPr>
        <w:pStyle w:val="NoSpacing"/>
        <w:ind w:left="720"/>
      </w:pPr>
      <w:r>
        <w:t>Food &amp; Dining Credits</w:t>
      </w:r>
    </w:p>
    <w:p w:rsidR="002F7AAF" w:rsidRDefault="00E01F49" w:rsidP="002F7AAF">
      <w:pPr>
        <w:pStyle w:val="NoSpacing"/>
        <w:numPr>
          <w:ilvl w:val="0"/>
          <w:numId w:val="27"/>
        </w:numPr>
        <w:rPr>
          <w:b/>
          <w:color w:val="FF0000"/>
        </w:rPr>
      </w:pPr>
      <w:r>
        <w:rPr>
          <w:b/>
          <w:color w:val="FF0000"/>
        </w:rPr>
        <w:t xml:space="preserve">FD1: </w:t>
      </w:r>
      <w:r w:rsidR="002F7AAF" w:rsidRPr="00CD4BB2">
        <w:rPr>
          <w:b/>
          <w:color w:val="FF0000"/>
        </w:rPr>
        <w:t>Dep</w:t>
      </w:r>
      <w:r w:rsidR="00CD4BB2">
        <w:rPr>
          <w:b/>
          <w:color w:val="FF0000"/>
        </w:rPr>
        <w:t>artment</w:t>
      </w:r>
      <w:r w:rsidR="002F7AAF" w:rsidRPr="00CD4BB2">
        <w:rPr>
          <w:b/>
          <w:color w:val="FF0000"/>
        </w:rPr>
        <w:t xml:space="preserve"> offer</w:t>
      </w:r>
      <w:r w:rsidR="00CD4BB2">
        <w:rPr>
          <w:b/>
          <w:color w:val="FF0000"/>
        </w:rPr>
        <w:t>s</w:t>
      </w:r>
      <w:r w:rsidR="002F7AAF" w:rsidRPr="00CD4BB2">
        <w:rPr>
          <w:b/>
          <w:color w:val="FF0000"/>
        </w:rPr>
        <w:t xml:space="preserve"> reusable </w:t>
      </w:r>
      <w:r w:rsidR="00CD4BB2" w:rsidRPr="00CD4BB2">
        <w:rPr>
          <w:b/>
          <w:color w:val="FF0000"/>
        </w:rPr>
        <w:t>plates/cups/silverware in break room</w:t>
      </w:r>
      <w:r>
        <w:rPr>
          <w:b/>
          <w:color w:val="FF0000"/>
        </w:rPr>
        <w:t xml:space="preserve"> – </w:t>
      </w:r>
      <w:r>
        <w:rPr>
          <w:color w:val="FF0000"/>
        </w:rPr>
        <w:t xml:space="preserve">As noted in </w:t>
      </w:r>
      <w:r w:rsidR="00546FA6">
        <w:rPr>
          <w:color w:val="FF0000"/>
        </w:rPr>
        <w:t>2.</w:t>
      </w:r>
      <w:r>
        <w:rPr>
          <w:color w:val="FF0000"/>
        </w:rPr>
        <w:t xml:space="preserve">E. earlier, this qualifies as a walk-through by Kate </w:t>
      </w:r>
      <w:r w:rsidR="00326675">
        <w:rPr>
          <w:color w:val="FF0000"/>
        </w:rPr>
        <w:t xml:space="preserve">in lieu of documentation. </w:t>
      </w:r>
      <w:r w:rsidR="000A06BA">
        <w:rPr>
          <w:color w:val="FF0000"/>
        </w:rPr>
        <w:t xml:space="preserve">Most departments in buildings other than Engelmann have break room so this credit is feasible. For departments in Engelmann, a break room feasibility study is in progress. </w:t>
      </w:r>
    </w:p>
    <w:p w:rsidR="00BF263E" w:rsidRPr="000A06BA" w:rsidRDefault="00E01F49" w:rsidP="002F7AAF">
      <w:pPr>
        <w:pStyle w:val="NoSpacing"/>
        <w:numPr>
          <w:ilvl w:val="0"/>
          <w:numId w:val="27"/>
        </w:numPr>
        <w:rPr>
          <w:color w:val="FF0000"/>
        </w:rPr>
      </w:pPr>
      <w:r>
        <w:rPr>
          <w:b/>
          <w:color w:val="FF0000"/>
        </w:rPr>
        <w:t xml:space="preserve">FD2: </w:t>
      </w:r>
      <w:r w:rsidR="00BF263E">
        <w:rPr>
          <w:b/>
          <w:color w:val="FF0000"/>
        </w:rPr>
        <w:t xml:space="preserve">Department offers no bottled water – </w:t>
      </w:r>
      <w:r w:rsidR="000A06BA">
        <w:rPr>
          <w:color w:val="FF0000"/>
        </w:rPr>
        <w:t>the group</w:t>
      </w:r>
      <w:r w:rsidR="000A06BA" w:rsidRPr="000A06BA">
        <w:rPr>
          <w:color w:val="FF0000"/>
        </w:rPr>
        <w:t xml:space="preserve"> discussed</w:t>
      </w:r>
      <w:r w:rsidR="000A06BA">
        <w:rPr>
          <w:color w:val="FF0000"/>
        </w:rPr>
        <w:t xml:space="preserve"> how this is not applicable to most departments. </w:t>
      </w:r>
      <w:r w:rsidR="00004F57">
        <w:rPr>
          <w:color w:val="FF0000"/>
        </w:rPr>
        <w:t xml:space="preserve">It was mentioned that during the sustainability training session </w:t>
      </w:r>
      <w:r w:rsidR="000A06BA">
        <w:rPr>
          <w:color w:val="FF0000"/>
        </w:rPr>
        <w:t>Kate had</w:t>
      </w:r>
      <w:r w:rsidR="00004F57">
        <w:rPr>
          <w:color w:val="FF0000"/>
        </w:rPr>
        <w:t xml:space="preserve"> </w:t>
      </w:r>
      <w:r w:rsidR="00546FA6">
        <w:rPr>
          <w:color w:val="FF0000"/>
        </w:rPr>
        <w:t>stated</w:t>
      </w:r>
      <w:r w:rsidR="00004F57">
        <w:rPr>
          <w:color w:val="FF0000"/>
        </w:rPr>
        <w:t xml:space="preserve"> </w:t>
      </w:r>
      <w:r w:rsidR="000A06BA">
        <w:rPr>
          <w:color w:val="FF0000"/>
        </w:rPr>
        <w:t xml:space="preserve">that credit could be received if a department documented that </w:t>
      </w:r>
      <w:r w:rsidR="00004F57">
        <w:rPr>
          <w:color w:val="FF0000"/>
        </w:rPr>
        <w:t>they are committed to never offering bott</w:t>
      </w:r>
      <w:r w:rsidR="00546FA6">
        <w:rPr>
          <w:color w:val="FF0000"/>
        </w:rPr>
        <w:t>led water in the future. Kate</w:t>
      </w:r>
      <w:r w:rsidR="00004F57">
        <w:rPr>
          <w:color w:val="FF0000"/>
        </w:rPr>
        <w:t xml:space="preserve"> also mentioned that </w:t>
      </w:r>
      <w:r w:rsidR="00546FA6">
        <w:rPr>
          <w:color w:val="FF0000"/>
        </w:rPr>
        <w:t xml:space="preserve">it is important to keep </w:t>
      </w:r>
      <w:r w:rsidR="00004F57" w:rsidRPr="00004F57">
        <w:rPr>
          <w:color w:val="FF0000"/>
        </w:rPr>
        <w:t xml:space="preserve">the spirit of our team goal, which is to promote sustainable green office practices, </w:t>
      </w:r>
      <w:r w:rsidR="00546FA6">
        <w:rPr>
          <w:color w:val="FF0000"/>
        </w:rPr>
        <w:t xml:space="preserve">in mind and also come up with </w:t>
      </w:r>
      <w:r w:rsidR="00004F57" w:rsidRPr="00004F57">
        <w:rPr>
          <w:color w:val="FF0000"/>
        </w:rPr>
        <w:t xml:space="preserve">innovation credits in this category.  </w:t>
      </w:r>
    </w:p>
    <w:p w:rsidR="00BF263E" w:rsidRPr="00FB0042" w:rsidRDefault="00E01F49" w:rsidP="002F7AAF">
      <w:pPr>
        <w:pStyle w:val="NoSpacing"/>
        <w:numPr>
          <w:ilvl w:val="0"/>
          <w:numId w:val="27"/>
        </w:numPr>
        <w:rPr>
          <w:color w:val="FF0000"/>
        </w:rPr>
      </w:pPr>
      <w:r>
        <w:rPr>
          <w:b/>
          <w:color w:val="FF0000"/>
        </w:rPr>
        <w:t xml:space="preserve">FD3: </w:t>
      </w:r>
      <w:r w:rsidR="00BF263E">
        <w:rPr>
          <w:b/>
          <w:color w:val="FF0000"/>
        </w:rPr>
        <w:t xml:space="preserve">The department eliminates and never uses Styrofoam products in the future – </w:t>
      </w:r>
      <w:r w:rsidR="00FB0042" w:rsidRPr="00FB0042">
        <w:rPr>
          <w:color w:val="FF0000"/>
        </w:rPr>
        <w:t xml:space="preserve">A department could receive credit for </w:t>
      </w:r>
      <w:r w:rsidR="00FB0042">
        <w:rPr>
          <w:color w:val="FF0000"/>
        </w:rPr>
        <w:t xml:space="preserve">documenting that they are committed to never using Styrofoam products in the future. But also should </w:t>
      </w:r>
      <w:r w:rsidR="00FB0042" w:rsidRPr="00FB0042">
        <w:rPr>
          <w:color w:val="FF0000"/>
        </w:rPr>
        <w:t>come up with some innovation credits in this category</w:t>
      </w:r>
      <w:r w:rsidR="00FB0042">
        <w:rPr>
          <w:color w:val="FF0000"/>
        </w:rPr>
        <w:t xml:space="preserve"> to keep in the spirit of our team goal [refer to prior bullet point].</w:t>
      </w:r>
    </w:p>
    <w:p w:rsidR="00BF263E" w:rsidRPr="00EE7F7B" w:rsidRDefault="00E01F49" w:rsidP="00EE7F7B">
      <w:pPr>
        <w:pStyle w:val="NoSpacing"/>
        <w:numPr>
          <w:ilvl w:val="0"/>
          <w:numId w:val="27"/>
        </w:numPr>
        <w:rPr>
          <w:color w:val="FF0000"/>
        </w:rPr>
      </w:pPr>
      <w:r>
        <w:rPr>
          <w:b/>
          <w:color w:val="FF0000"/>
        </w:rPr>
        <w:t xml:space="preserve">FD4: </w:t>
      </w:r>
      <w:r w:rsidR="000D1384">
        <w:rPr>
          <w:b/>
          <w:color w:val="FF0000"/>
        </w:rPr>
        <w:t>Department requests at least 20% local and/or seasonal foods for all catered events –</w:t>
      </w:r>
      <w:r w:rsidR="00EE7F7B">
        <w:rPr>
          <w:b/>
          <w:color w:val="FF0000"/>
        </w:rPr>
        <w:t xml:space="preserve"> </w:t>
      </w:r>
      <w:r w:rsidR="00EE7F7B" w:rsidRPr="000A06BA">
        <w:rPr>
          <w:color w:val="FF0000"/>
        </w:rPr>
        <w:t>W</w:t>
      </w:r>
      <w:r w:rsidR="00EE7F7B">
        <w:rPr>
          <w:color w:val="FF0000"/>
        </w:rPr>
        <w:t>e discussed how this is not applicable to most departments as they do not cater events. D</w:t>
      </w:r>
      <w:r w:rsidR="00EE7F7B">
        <w:rPr>
          <w:color w:val="FF0000"/>
        </w:rPr>
        <w:t xml:space="preserve">epartments should come up with </w:t>
      </w:r>
      <w:r w:rsidR="00EE7F7B" w:rsidRPr="00FB0042">
        <w:rPr>
          <w:color w:val="FF0000"/>
        </w:rPr>
        <w:t>innovation credit</w:t>
      </w:r>
      <w:r w:rsidR="00EE7F7B">
        <w:rPr>
          <w:color w:val="FF0000"/>
        </w:rPr>
        <w:t>s</w:t>
      </w:r>
      <w:r w:rsidR="00EE7F7B" w:rsidRPr="00FB0042">
        <w:rPr>
          <w:color w:val="FF0000"/>
        </w:rPr>
        <w:t xml:space="preserve"> in this category</w:t>
      </w:r>
      <w:r w:rsidR="00EE7F7B">
        <w:rPr>
          <w:color w:val="FF0000"/>
        </w:rPr>
        <w:t xml:space="preserve"> to replace this credit [keep in mind that the Green Office Certification Resource Guide, provided by Kate and available in our shared </w:t>
      </w:r>
      <w:proofErr w:type="spellStart"/>
      <w:r w:rsidR="00EE7F7B">
        <w:rPr>
          <w:color w:val="FF0000"/>
        </w:rPr>
        <w:t>PantherFile</w:t>
      </w:r>
      <w:proofErr w:type="spellEnd"/>
      <w:r w:rsidR="00EE7F7B">
        <w:rPr>
          <w:color w:val="FF0000"/>
        </w:rPr>
        <w:t xml:space="preserve"> folder, has some good ideas]. </w:t>
      </w:r>
    </w:p>
    <w:p w:rsidR="000D1384" w:rsidRPr="00C10DD0" w:rsidRDefault="00E01F49" w:rsidP="00C10DD0">
      <w:pPr>
        <w:pStyle w:val="NoSpacing"/>
        <w:numPr>
          <w:ilvl w:val="0"/>
          <w:numId w:val="27"/>
        </w:numPr>
        <w:rPr>
          <w:color w:val="FF0000"/>
        </w:rPr>
      </w:pPr>
      <w:r>
        <w:rPr>
          <w:b/>
          <w:color w:val="FF0000"/>
        </w:rPr>
        <w:t xml:space="preserve">FD5: </w:t>
      </w:r>
      <w:r w:rsidR="000D1384">
        <w:rPr>
          <w:b/>
          <w:color w:val="FF0000"/>
        </w:rPr>
        <w:t xml:space="preserve">Department requests </w:t>
      </w:r>
      <w:r>
        <w:rPr>
          <w:b/>
          <w:color w:val="FF0000"/>
        </w:rPr>
        <w:t>either reusable or biodegradable dinnerware for all catered events –</w:t>
      </w:r>
      <w:r w:rsidR="000A06BA">
        <w:rPr>
          <w:b/>
          <w:color w:val="FF0000"/>
        </w:rPr>
        <w:t xml:space="preserve"> </w:t>
      </w:r>
      <w:r w:rsidR="00EE7F7B">
        <w:rPr>
          <w:color w:val="FF0000"/>
        </w:rPr>
        <w:t xml:space="preserve">see comments in prior bullet point. </w:t>
      </w:r>
    </w:p>
    <w:p w:rsidR="00E01F49" w:rsidRPr="000A06BA" w:rsidRDefault="00E01F49" w:rsidP="00E01F49">
      <w:pPr>
        <w:pStyle w:val="NoSpacing"/>
        <w:numPr>
          <w:ilvl w:val="0"/>
          <w:numId w:val="27"/>
        </w:numPr>
        <w:rPr>
          <w:color w:val="FF0000"/>
        </w:rPr>
      </w:pPr>
      <w:r>
        <w:rPr>
          <w:b/>
          <w:color w:val="FF0000"/>
        </w:rPr>
        <w:t xml:space="preserve">FD6: Department hosts a vegetarian potluck once a year </w:t>
      </w:r>
      <w:r w:rsidRPr="000A06BA">
        <w:rPr>
          <w:color w:val="FF0000"/>
        </w:rPr>
        <w:t>–</w:t>
      </w:r>
      <w:r w:rsidR="000A06BA" w:rsidRPr="000A06BA">
        <w:rPr>
          <w:color w:val="FF0000"/>
        </w:rPr>
        <w:t xml:space="preserve"> </w:t>
      </w:r>
      <w:r w:rsidR="000A06BA">
        <w:rPr>
          <w:color w:val="FF0000"/>
        </w:rPr>
        <w:t xml:space="preserve">we discussed how </w:t>
      </w:r>
      <w:r w:rsidR="000A06BA" w:rsidRPr="000A06BA">
        <w:rPr>
          <w:color w:val="FF0000"/>
        </w:rPr>
        <w:t xml:space="preserve">this </w:t>
      </w:r>
      <w:r w:rsidR="000A06BA">
        <w:rPr>
          <w:color w:val="FF0000"/>
        </w:rPr>
        <w:t>would be feasible for most departments.</w:t>
      </w:r>
    </w:p>
    <w:p w:rsidR="00E01F49" w:rsidRPr="00E01F49" w:rsidRDefault="00E01F49" w:rsidP="00E01F49">
      <w:pPr>
        <w:pStyle w:val="NoSpacing"/>
        <w:rPr>
          <w:b/>
          <w:color w:val="FF0000"/>
        </w:rPr>
      </w:pPr>
    </w:p>
    <w:p w:rsidR="002F7AAF" w:rsidRDefault="00EE7F7B" w:rsidP="00EE7F7B">
      <w:pPr>
        <w:pStyle w:val="NoSpacing"/>
        <w:ind w:left="720"/>
      </w:pPr>
      <w:r w:rsidRPr="00EE7F7B">
        <w:t>General discussion</w:t>
      </w:r>
    </w:p>
    <w:p w:rsidR="002F7AAF" w:rsidRPr="00EE7F7B" w:rsidRDefault="00361738" w:rsidP="002F7AAF">
      <w:pPr>
        <w:pStyle w:val="NoSpacing"/>
        <w:numPr>
          <w:ilvl w:val="0"/>
          <w:numId w:val="27"/>
        </w:numPr>
        <w:rPr>
          <w:b/>
          <w:color w:val="FF0000"/>
        </w:rPr>
      </w:pPr>
      <w:r w:rsidRPr="00EE7F7B">
        <w:rPr>
          <w:b/>
          <w:color w:val="FF0000"/>
        </w:rPr>
        <w:t xml:space="preserve">We discussed how some of the </w:t>
      </w:r>
      <w:r w:rsidR="00EE7F7B" w:rsidRPr="00EE7F7B">
        <w:rPr>
          <w:b/>
          <w:color w:val="FF0000"/>
        </w:rPr>
        <w:t xml:space="preserve">food &amp; dining </w:t>
      </w:r>
      <w:r w:rsidRPr="00EE7F7B">
        <w:rPr>
          <w:b/>
          <w:color w:val="FF0000"/>
        </w:rPr>
        <w:t>credits on the spreadsheet are not applicable to many of</w:t>
      </w:r>
      <w:r w:rsidR="00EE7F7B" w:rsidRPr="00EE7F7B">
        <w:rPr>
          <w:b/>
          <w:color w:val="FF0000"/>
        </w:rPr>
        <w:t xml:space="preserve"> our departments but this is your opportunity to work with your department colleagues to develop some creative innovation green credits that promote green office initiatives.</w:t>
      </w:r>
    </w:p>
    <w:p w:rsidR="00027DC5" w:rsidRPr="006E6B42" w:rsidRDefault="00027DC5" w:rsidP="006E6B42">
      <w:pPr>
        <w:pStyle w:val="NoSpacing"/>
      </w:pPr>
    </w:p>
    <w:p w:rsidR="003C59B1" w:rsidRPr="006E6B42" w:rsidRDefault="00BE4900" w:rsidP="003C59B1">
      <w:pPr>
        <w:pStyle w:val="NoSpacing"/>
        <w:numPr>
          <w:ilvl w:val="0"/>
          <w:numId w:val="22"/>
        </w:numPr>
      </w:pPr>
      <w:r w:rsidRPr="006E6B42">
        <w:t>Other/</w:t>
      </w:r>
      <w:r w:rsidR="00820E0A" w:rsidRPr="006E6B42">
        <w:t>Next Steps</w:t>
      </w:r>
    </w:p>
    <w:p w:rsidR="00E05B1B" w:rsidRPr="00E05B1B" w:rsidRDefault="006E6B42" w:rsidP="00E05B1B">
      <w:pPr>
        <w:pStyle w:val="ListParagraph"/>
        <w:numPr>
          <w:ilvl w:val="0"/>
          <w:numId w:val="29"/>
        </w:numPr>
        <w:rPr>
          <w:color w:val="FF0000"/>
        </w:rPr>
      </w:pPr>
      <w:r w:rsidRPr="006E6B42">
        <w:rPr>
          <w:b/>
          <w:color w:val="FF0000"/>
        </w:rPr>
        <w:t>Team reps</w:t>
      </w:r>
      <w:r w:rsidRPr="006E6B42">
        <w:rPr>
          <w:color w:val="FF0000"/>
        </w:rPr>
        <w:t xml:space="preserve"> should start/continue ongoing green credit implementation/documentation discussions with their departments – keep in mind that if questions come up between meetings you can use our team email for a group discussion </w:t>
      </w:r>
      <w:proofErr w:type="gramStart"/>
      <w:r w:rsidRPr="006E6B42">
        <w:rPr>
          <w:color w:val="FF0000"/>
        </w:rPr>
        <w:t xml:space="preserve">[ </w:t>
      </w:r>
      <w:proofErr w:type="gramEnd"/>
      <w:hyperlink r:id="rId10" w:history="1">
        <w:r w:rsidR="00E05B1B" w:rsidRPr="002F7AAF">
          <w:rPr>
            <w:rStyle w:val="Hyperlink"/>
            <w:color w:val="4F81BD" w:themeColor="accent1"/>
          </w:rPr>
          <w:t>faa-greenteam@uwm.edu</w:t>
        </w:r>
      </w:hyperlink>
      <w:r w:rsidR="00E05B1B">
        <w:rPr>
          <w:color w:val="548DD4" w:themeColor="text2" w:themeTint="99"/>
        </w:rPr>
        <w:t xml:space="preserve"> </w:t>
      </w:r>
      <w:r w:rsidR="00E05B1B" w:rsidRPr="00E05B1B">
        <w:rPr>
          <w:color w:val="FF0000"/>
        </w:rPr>
        <w:t>].</w:t>
      </w:r>
    </w:p>
    <w:p w:rsidR="003C59B1" w:rsidRPr="006E6B42" w:rsidRDefault="00071269" w:rsidP="003C59B1">
      <w:pPr>
        <w:pStyle w:val="ListParagraph"/>
        <w:numPr>
          <w:ilvl w:val="0"/>
          <w:numId w:val="29"/>
        </w:numPr>
        <w:spacing w:after="0" w:line="240" w:lineRule="auto"/>
        <w:rPr>
          <w:color w:val="FF0000"/>
        </w:rPr>
      </w:pPr>
      <w:r w:rsidRPr="006E6B42">
        <w:rPr>
          <w:b/>
          <w:color w:val="FF0000"/>
        </w:rPr>
        <w:t>Beth/</w:t>
      </w:r>
      <w:r w:rsidR="00AE25D9" w:rsidRPr="006E6B42">
        <w:rPr>
          <w:b/>
          <w:color w:val="FF0000"/>
        </w:rPr>
        <w:t>Betsy</w:t>
      </w:r>
      <w:r w:rsidR="00AE25D9" w:rsidRPr="006E6B42">
        <w:rPr>
          <w:color w:val="FF0000"/>
        </w:rPr>
        <w:t xml:space="preserve"> to work on draft of next E-blast for multi-function leased copier duplex </w:t>
      </w:r>
      <w:r w:rsidR="00EE4768" w:rsidRPr="006E6B42">
        <w:rPr>
          <w:color w:val="FF0000"/>
        </w:rPr>
        <w:t>printing procedures</w:t>
      </w:r>
    </w:p>
    <w:p w:rsidR="00071269" w:rsidRPr="006E6B42" w:rsidRDefault="006E6B42" w:rsidP="006E6B42">
      <w:pPr>
        <w:pStyle w:val="NoSpacing"/>
        <w:numPr>
          <w:ilvl w:val="0"/>
          <w:numId w:val="29"/>
        </w:numPr>
        <w:rPr>
          <w:color w:val="FF0000"/>
        </w:rPr>
      </w:pPr>
      <w:r w:rsidRPr="006E6B42">
        <w:rPr>
          <w:b/>
          <w:color w:val="FF0000"/>
        </w:rPr>
        <w:t>Kurt/Mary</w:t>
      </w:r>
      <w:r w:rsidRPr="006E6B42">
        <w:rPr>
          <w:color w:val="FF0000"/>
        </w:rPr>
        <w:t xml:space="preserve"> will report on break room feasibility at next meeting. </w:t>
      </w:r>
      <w:r w:rsidR="00071269" w:rsidRPr="006E6B42">
        <w:rPr>
          <w:b/>
          <w:color w:val="FF0000"/>
        </w:rPr>
        <w:t>Amanda</w:t>
      </w:r>
      <w:r w:rsidR="00071269" w:rsidRPr="006E6B42">
        <w:rPr>
          <w:color w:val="FF0000"/>
        </w:rPr>
        <w:t xml:space="preserve"> </w:t>
      </w:r>
      <w:r w:rsidRPr="006E6B42">
        <w:rPr>
          <w:color w:val="FF0000"/>
        </w:rPr>
        <w:t>to</w:t>
      </w:r>
      <w:r w:rsidR="00071269" w:rsidRPr="006E6B42">
        <w:rPr>
          <w:color w:val="FF0000"/>
        </w:rPr>
        <w:t xml:space="preserve"> help coordinate </w:t>
      </w:r>
      <w:r w:rsidRPr="006E6B42">
        <w:rPr>
          <w:color w:val="FF0000"/>
        </w:rPr>
        <w:t xml:space="preserve">our team efforts </w:t>
      </w:r>
      <w:r w:rsidR="00071269" w:rsidRPr="006E6B42">
        <w:rPr>
          <w:color w:val="FF0000"/>
        </w:rPr>
        <w:t>with the Best Places to Work [BP2W] team.</w:t>
      </w:r>
    </w:p>
    <w:p w:rsidR="00224589" w:rsidRDefault="00224589" w:rsidP="00224589">
      <w:pPr>
        <w:pStyle w:val="NoSpacing"/>
        <w:numPr>
          <w:ilvl w:val="0"/>
          <w:numId w:val="29"/>
        </w:numPr>
        <w:rPr>
          <w:color w:val="FF0000"/>
          <w:sz w:val="24"/>
          <w:szCs w:val="24"/>
        </w:rPr>
      </w:pPr>
      <w:r w:rsidRPr="009C34AE">
        <w:rPr>
          <w:b/>
          <w:color w:val="FF0000"/>
          <w:sz w:val="24"/>
          <w:szCs w:val="24"/>
        </w:rPr>
        <w:t>Kurt</w:t>
      </w:r>
      <w:r>
        <w:rPr>
          <w:color w:val="FF0000"/>
          <w:sz w:val="24"/>
          <w:szCs w:val="24"/>
        </w:rPr>
        <w:t xml:space="preserve"> to provide number/location of multi-function leased copiers </w:t>
      </w:r>
      <w:r w:rsidRPr="00224589">
        <w:rPr>
          <w:color w:val="FF0000"/>
          <w:sz w:val="24"/>
          <w:szCs w:val="24"/>
        </w:rPr>
        <w:t>[</w:t>
      </w:r>
      <w:r w:rsidRPr="00224589">
        <w:rPr>
          <w:color w:val="FF0000"/>
          <w:sz w:val="24"/>
          <w:szCs w:val="24"/>
          <w:u w:val="single"/>
        </w:rPr>
        <w:t>excluding</w:t>
      </w:r>
      <w:r>
        <w:rPr>
          <w:color w:val="FF0000"/>
          <w:sz w:val="24"/>
          <w:szCs w:val="24"/>
        </w:rPr>
        <w:t xml:space="preserve"> Print &amp; Copy Services] at the USR building to Peter.</w:t>
      </w:r>
    </w:p>
    <w:p w:rsidR="00EE4768" w:rsidRDefault="00E01F49" w:rsidP="003C59B1">
      <w:pPr>
        <w:pStyle w:val="ListParagraph"/>
        <w:numPr>
          <w:ilvl w:val="0"/>
          <w:numId w:val="29"/>
        </w:numPr>
        <w:spacing w:after="0" w:line="240" w:lineRule="auto"/>
        <w:rPr>
          <w:color w:val="FF0000"/>
        </w:rPr>
      </w:pPr>
      <w:r w:rsidRPr="00546FA6">
        <w:rPr>
          <w:b/>
          <w:color w:val="FF0000"/>
        </w:rPr>
        <w:t>Peter</w:t>
      </w:r>
      <w:r>
        <w:rPr>
          <w:color w:val="FF0000"/>
        </w:rPr>
        <w:t xml:space="preserve"> to follow up on 100% recycled paper.</w:t>
      </w:r>
    </w:p>
    <w:p w:rsidR="00E01F49" w:rsidRPr="00086B17" w:rsidRDefault="00E01F49" w:rsidP="00086B17">
      <w:pPr>
        <w:spacing w:after="0" w:line="240" w:lineRule="auto"/>
        <w:rPr>
          <w:color w:val="FF0000"/>
        </w:rPr>
      </w:pPr>
    </w:p>
    <w:p w:rsidR="00027DC5" w:rsidRPr="006E6B42" w:rsidRDefault="00027DC5" w:rsidP="002D73E2">
      <w:pPr>
        <w:pStyle w:val="NoSpacing"/>
      </w:pPr>
    </w:p>
    <w:p w:rsidR="00224589" w:rsidRDefault="00224589" w:rsidP="002D73E2">
      <w:pPr>
        <w:pStyle w:val="NoSpacing"/>
        <w:rPr>
          <w:sz w:val="23"/>
          <w:szCs w:val="23"/>
        </w:rPr>
      </w:pPr>
    </w:p>
    <w:p w:rsidR="00224589" w:rsidRDefault="00224589" w:rsidP="002D73E2">
      <w:pPr>
        <w:pStyle w:val="NoSpacing"/>
        <w:rPr>
          <w:sz w:val="23"/>
          <w:szCs w:val="23"/>
        </w:rPr>
      </w:pPr>
    </w:p>
    <w:p w:rsidR="00224589" w:rsidRDefault="00224589" w:rsidP="002D73E2">
      <w:pPr>
        <w:pStyle w:val="NoSpacing"/>
        <w:rPr>
          <w:sz w:val="23"/>
          <w:szCs w:val="23"/>
        </w:rPr>
      </w:pPr>
    </w:p>
    <w:p w:rsidR="00027DC5" w:rsidRPr="00EE7F7B" w:rsidRDefault="002D73E2" w:rsidP="002D73E2">
      <w:pPr>
        <w:pStyle w:val="NoSpacing"/>
        <w:rPr>
          <w:sz w:val="23"/>
          <w:szCs w:val="23"/>
        </w:rPr>
      </w:pPr>
      <w:r w:rsidRPr="00EE7F7B">
        <w:rPr>
          <w:sz w:val="23"/>
          <w:szCs w:val="23"/>
        </w:rPr>
        <w:t>As of 1/12/15: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2587"/>
      </w:tblGrid>
      <w:tr w:rsidR="00B931DB" w:rsidRPr="00105C67" w:rsidTr="006B4C3C">
        <w:tc>
          <w:tcPr>
            <w:tcW w:w="9062" w:type="dxa"/>
            <w:gridSpan w:val="3"/>
            <w:shd w:val="clear" w:color="auto" w:fill="92D050"/>
          </w:tcPr>
          <w:p w:rsidR="00B931DB" w:rsidRPr="00105C67" w:rsidRDefault="00B931DB" w:rsidP="006B4C3C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Green Team Members</w:t>
            </w:r>
          </w:p>
        </w:tc>
      </w:tr>
      <w:tr w:rsidR="00B931DB" w:rsidRPr="00105C67" w:rsidTr="006B4C3C">
        <w:tc>
          <w:tcPr>
            <w:tcW w:w="3055" w:type="dxa"/>
            <w:shd w:val="clear" w:color="auto" w:fill="D6E3BC" w:themeFill="accent3" w:themeFillTint="66"/>
          </w:tcPr>
          <w:p w:rsidR="00B931DB" w:rsidRPr="00105C67" w:rsidRDefault="00DB45EE" w:rsidP="006B4C3C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Rep. Name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B931DB" w:rsidRPr="00105C67" w:rsidRDefault="00DB45EE" w:rsidP="006B4C3C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Department[s] Rep.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B931DB" w:rsidRPr="00105C67" w:rsidRDefault="00DB45EE" w:rsidP="00DB45E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Building Space Rep.</w:t>
            </w:r>
          </w:p>
        </w:tc>
      </w:tr>
      <w:tr w:rsidR="00B931DB" w:rsidRPr="00105C67" w:rsidTr="00583F87">
        <w:trPr>
          <w:trHeight w:val="413"/>
        </w:trPr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Peter Alexopoulos [co-chair]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BFS-Budget &amp; Planning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583F87">
        <w:tc>
          <w:tcPr>
            <w:tcW w:w="3055" w:type="dxa"/>
            <w:shd w:val="clear" w:color="auto" w:fill="auto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Beth Schaefer [co-chair]</w:t>
            </w:r>
          </w:p>
        </w:tc>
        <w:tc>
          <w:tcPr>
            <w:tcW w:w="3420" w:type="dxa"/>
            <w:shd w:val="clear" w:color="auto" w:fill="auto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583F8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  <w:shd w:val="clear" w:color="auto" w:fill="auto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Cal Stoffel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FP&amp;M-Campus Planning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Beth Schaefer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Betsy Caban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Mary Luebke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Internal Audit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Courtney Churchill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Police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Sandburg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Tammy Johnson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VC’s Office [Chapman Hall]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Amanda Thompson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Human Resources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DB45EE">
        <w:tc>
          <w:tcPr>
            <w:tcW w:w="3055" w:type="dxa"/>
            <w:shd w:val="clear" w:color="auto" w:fill="D9D9D9" w:themeFill="background1" w:themeFillShade="D9"/>
          </w:tcPr>
          <w:p w:rsidR="00583F87" w:rsidRPr="00105C67" w:rsidRDefault="00DB45EE" w:rsidP="00583F87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VACANT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Legal Affairs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Kristin Fekete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Monica Rodriguez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John Gardner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SARUP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Kurt Young-Binter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USR 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Kim Axtman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FP&amp;M-University Safety &amp; Assurances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583F87" w:rsidRPr="00105C67" w:rsidTr="006B4C3C">
        <w:tc>
          <w:tcPr>
            <w:tcW w:w="3055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Joe Rohde</w:t>
            </w:r>
          </w:p>
        </w:tc>
        <w:tc>
          <w:tcPr>
            <w:tcW w:w="3420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FP&amp;M-Parking &amp; Transportation</w:t>
            </w:r>
          </w:p>
        </w:tc>
        <w:tc>
          <w:tcPr>
            <w:tcW w:w="2587" w:type="dxa"/>
          </w:tcPr>
          <w:p w:rsidR="00583F87" w:rsidRPr="00105C67" w:rsidRDefault="00583F87" w:rsidP="00583F87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Union</w:t>
            </w:r>
          </w:p>
        </w:tc>
      </w:tr>
    </w:tbl>
    <w:p w:rsidR="00255E51" w:rsidRPr="00B931DB" w:rsidRDefault="00255E51" w:rsidP="00255E51">
      <w:pPr>
        <w:pStyle w:val="NoSpacing"/>
      </w:pPr>
    </w:p>
    <w:sectPr w:rsidR="00255E51" w:rsidRPr="00B931DB" w:rsidSect="00D13C3F">
      <w:headerReference w:type="default" r:id="rId11"/>
      <w:pgSz w:w="12240" w:h="15840"/>
      <w:pgMar w:top="720" w:right="1584" w:bottom="1008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807852" w:rsidP="00807852">
    <w:pPr>
      <w:pStyle w:val="NoSpacing"/>
      <w:rPr>
        <w:rFonts w:cs="Arial"/>
        <w:b/>
        <w:color w:val="FF0000"/>
        <w:sz w:val="30"/>
        <w:szCs w:val="30"/>
      </w:rPr>
    </w:pPr>
    <w:r w:rsidRPr="00807852">
      <w:rPr>
        <w:rFonts w:cs="Arial"/>
        <w:b/>
        <w:sz w:val="28"/>
        <w:szCs w:val="28"/>
      </w:rPr>
      <w:t xml:space="preserve">FAA Green Team Meeting </w:t>
    </w:r>
    <w:r w:rsidR="00C10078" w:rsidRPr="00C10078">
      <w:rPr>
        <w:rFonts w:cs="Arial"/>
        <w:b/>
        <w:color w:val="FF0000"/>
        <w:sz w:val="30"/>
        <w:szCs w:val="30"/>
      </w:rPr>
      <w:t>[MINUTES]</w:t>
    </w:r>
  </w:p>
  <w:p w:rsidR="00674D95" w:rsidRPr="00674D95" w:rsidRDefault="00674D95" w:rsidP="00807852">
    <w:pPr>
      <w:pStyle w:val="NoSpacing"/>
      <w:rPr>
        <w:rFonts w:cs="Arial"/>
        <w:b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A01"/>
    <w:multiLevelType w:val="hybridMultilevel"/>
    <w:tmpl w:val="E7E860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63C35"/>
    <w:multiLevelType w:val="hybridMultilevel"/>
    <w:tmpl w:val="284E8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25351D"/>
    <w:multiLevelType w:val="hybridMultilevel"/>
    <w:tmpl w:val="C2025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63D37"/>
    <w:multiLevelType w:val="hybridMultilevel"/>
    <w:tmpl w:val="1D56E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CB8"/>
    <w:multiLevelType w:val="hybridMultilevel"/>
    <w:tmpl w:val="77BCDF7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954DC5"/>
    <w:multiLevelType w:val="hybridMultilevel"/>
    <w:tmpl w:val="8D1AAA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33070"/>
    <w:multiLevelType w:val="hybridMultilevel"/>
    <w:tmpl w:val="A02C2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5388D"/>
    <w:multiLevelType w:val="hybridMultilevel"/>
    <w:tmpl w:val="58BA3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101D8"/>
    <w:multiLevelType w:val="hybridMultilevel"/>
    <w:tmpl w:val="C106B8A6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A2EFE"/>
    <w:multiLevelType w:val="hybridMultilevel"/>
    <w:tmpl w:val="E3B2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EC53D4"/>
    <w:multiLevelType w:val="hybridMultilevel"/>
    <w:tmpl w:val="614E4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6521D"/>
    <w:multiLevelType w:val="hybridMultilevel"/>
    <w:tmpl w:val="9A38D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E6387E"/>
    <w:multiLevelType w:val="hybridMultilevel"/>
    <w:tmpl w:val="6E8C7634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24"/>
  </w:num>
  <w:num w:numId="5">
    <w:abstractNumId w:val="3"/>
  </w:num>
  <w:num w:numId="6">
    <w:abstractNumId w:val="19"/>
  </w:num>
  <w:num w:numId="7">
    <w:abstractNumId w:val="11"/>
  </w:num>
  <w:num w:numId="8">
    <w:abstractNumId w:val="31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20"/>
  </w:num>
  <w:num w:numId="14">
    <w:abstractNumId w:val="1"/>
  </w:num>
  <w:num w:numId="15">
    <w:abstractNumId w:val="9"/>
  </w:num>
  <w:num w:numId="16">
    <w:abstractNumId w:val="21"/>
  </w:num>
  <w:num w:numId="17">
    <w:abstractNumId w:val="15"/>
  </w:num>
  <w:num w:numId="18">
    <w:abstractNumId w:val="25"/>
  </w:num>
  <w:num w:numId="19">
    <w:abstractNumId w:val="2"/>
  </w:num>
  <w:num w:numId="20">
    <w:abstractNumId w:val="4"/>
  </w:num>
  <w:num w:numId="21">
    <w:abstractNumId w:val="16"/>
  </w:num>
  <w:num w:numId="22">
    <w:abstractNumId w:val="30"/>
  </w:num>
  <w:num w:numId="23">
    <w:abstractNumId w:val="23"/>
  </w:num>
  <w:num w:numId="24">
    <w:abstractNumId w:val="22"/>
  </w:num>
  <w:num w:numId="25">
    <w:abstractNumId w:val="0"/>
  </w:num>
  <w:num w:numId="26">
    <w:abstractNumId w:val="12"/>
  </w:num>
  <w:num w:numId="27">
    <w:abstractNumId w:val="18"/>
  </w:num>
  <w:num w:numId="28">
    <w:abstractNumId w:val="17"/>
  </w:num>
  <w:num w:numId="29">
    <w:abstractNumId w:val="28"/>
  </w:num>
  <w:num w:numId="30">
    <w:abstractNumId w:val="29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04F57"/>
    <w:rsid w:val="00013133"/>
    <w:rsid w:val="00020365"/>
    <w:rsid w:val="000208C9"/>
    <w:rsid w:val="0002311E"/>
    <w:rsid w:val="00026461"/>
    <w:rsid w:val="00027DC5"/>
    <w:rsid w:val="00040212"/>
    <w:rsid w:val="000415F5"/>
    <w:rsid w:val="00042AAA"/>
    <w:rsid w:val="00055673"/>
    <w:rsid w:val="00057819"/>
    <w:rsid w:val="00062382"/>
    <w:rsid w:val="0006348A"/>
    <w:rsid w:val="00063FE4"/>
    <w:rsid w:val="00071269"/>
    <w:rsid w:val="00077BF5"/>
    <w:rsid w:val="00082926"/>
    <w:rsid w:val="00082DB9"/>
    <w:rsid w:val="00083AC0"/>
    <w:rsid w:val="00086B17"/>
    <w:rsid w:val="000A06BA"/>
    <w:rsid w:val="000B40B3"/>
    <w:rsid w:val="000C45A6"/>
    <w:rsid w:val="000D04AF"/>
    <w:rsid w:val="000D1384"/>
    <w:rsid w:val="000D5636"/>
    <w:rsid w:val="000E6D33"/>
    <w:rsid w:val="000F6855"/>
    <w:rsid w:val="001030BA"/>
    <w:rsid w:val="00105C67"/>
    <w:rsid w:val="00115D3D"/>
    <w:rsid w:val="00120E14"/>
    <w:rsid w:val="0012400F"/>
    <w:rsid w:val="00124A59"/>
    <w:rsid w:val="00131E43"/>
    <w:rsid w:val="00136706"/>
    <w:rsid w:val="00137612"/>
    <w:rsid w:val="00144E64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5FAD"/>
    <w:rsid w:val="001C7BCC"/>
    <w:rsid w:val="001E51AD"/>
    <w:rsid w:val="00205FC8"/>
    <w:rsid w:val="00214054"/>
    <w:rsid w:val="00224589"/>
    <w:rsid w:val="0023617D"/>
    <w:rsid w:val="00243BAF"/>
    <w:rsid w:val="00244FAF"/>
    <w:rsid w:val="00251C9F"/>
    <w:rsid w:val="00255E51"/>
    <w:rsid w:val="0026094D"/>
    <w:rsid w:val="00261F8B"/>
    <w:rsid w:val="00264EEA"/>
    <w:rsid w:val="002737A2"/>
    <w:rsid w:val="00277924"/>
    <w:rsid w:val="002908ED"/>
    <w:rsid w:val="00291E12"/>
    <w:rsid w:val="002A5313"/>
    <w:rsid w:val="002A666E"/>
    <w:rsid w:val="002B15F8"/>
    <w:rsid w:val="002C10D8"/>
    <w:rsid w:val="002D73E2"/>
    <w:rsid w:val="002E23A5"/>
    <w:rsid w:val="002E23FD"/>
    <w:rsid w:val="002E7B86"/>
    <w:rsid w:val="002F6122"/>
    <w:rsid w:val="002F65CB"/>
    <w:rsid w:val="002F6AB9"/>
    <w:rsid w:val="002F7AAF"/>
    <w:rsid w:val="00301B42"/>
    <w:rsid w:val="003022C9"/>
    <w:rsid w:val="003034A5"/>
    <w:rsid w:val="0030518A"/>
    <w:rsid w:val="0031598F"/>
    <w:rsid w:val="00326675"/>
    <w:rsid w:val="00336052"/>
    <w:rsid w:val="0034506C"/>
    <w:rsid w:val="00360C69"/>
    <w:rsid w:val="00361738"/>
    <w:rsid w:val="00371A1A"/>
    <w:rsid w:val="00374E56"/>
    <w:rsid w:val="00375FA4"/>
    <w:rsid w:val="003817AD"/>
    <w:rsid w:val="003864FC"/>
    <w:rsid w:val="0039511E"/>
    <w:rsid w:val="003A0758"/>
    <w:rsid w:val="003A566A"/>
    <w:rsid w:val="003C2EF8"/>
    <w:rsid w:val="003C59B1"/>
    <w:rsid w:val="003D6716"/>
    <w:rsid w:val="003E4E5A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7082D"/>
    <w:rsid w:val="0048483A"/>
    <w:rsid w:val="004B2F21"/>
    <w:rsid w:val="004B5935"/>
    <w:rsid w:val="004C3D11"/>
    <w:rsid w:val="004D20AC"/>
    <w:rsid w:val="004D285C"/>
    <w:rsid w:val="004D7E0C"/>
    <w:rsid w:val="004E12FB"/>
    <w:rsid w:val="004E2880"/>
    <w:rsid w:val="004E3160"/>
    <w:rsid w:val="004F1516"/>
    <w:rsid w:val="004F19F1"/>
    <w:rsid w:val="004F36AB"/>
    <w:rsid w:val="004F6569"/>
    <w:rsid w:val="00522AFC"/>
    <w:rsid w:val="005358A7"/>
    <w:rsid w:val="00540692"/>
    <w:rsid w:val="00546FA6"/>
    <w:rsid w:val="0055392D"/>
    <w:rsid w:val="00565CEB"/>
    <w:rsid w:val="00576B54"/>
    <w:rsid w:val="00583F87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2517"/>
    <w:rsid w:val="0067359E"/>
    <w:rsid w:val="006741FB"/>
    <w:rsid w:val="00674D95"/>
    <w:rsid w:val="00695DAE"/>
    <w:rsid w:val="00695DBC"/>
    <w:rsid w:val="006A3369"/>
    <w:rsid w:val="006A3935"/>
    <w:rsid w:val="006A6839"/>
    <w:rsid w:val="006B48D6"/>
    <w:rsid w:val="006E6B42"/>
    <w:rsid w:val="006F0148"/>
    <w:rsid w:val="006F1A4B"/>
    <w:rsid w:val="006F6859"/>
    <w:rsid w:val="006F6DA3"/>
    <w:rsid w:val="00712963"/>
    <w:rsid w:val="00714480"/>
    <w:rsid w:val="00715991"/>
    <w:rsid w:val="007204B2"/>
    <w:rsid w:val="007269CF"/>
    <w:rsid w:val="00732B7F"/>
    <w:rsid w:val="0073401F"/>
    <w:rsid w:val="00735DD0"/>
    <w:rsid w:val="00740D36"/>
    <w:rsid w:val="00743BF9"/>
    <w:rsid w:val="00754E11"/>
    <w:rsid w:val="00766EC7"/>
    <w:rsid w:val="0077680C"/>
    <w:rsid w:val="00780239"/>
    <w:rsid w:val="00784909"/>
    <w:rsid w:val="00795E11"/>
    <w:rsid w:val="007A10BB"/>
    <w:rsid w:val="007A22CA"/>
    <w:rsid w:val="007A274F"/>
    <w:rsid w:val="007A2885"/>
    <w:rsid w:val="007A69F7"/>
    <w:rsid w:val="007B1234"/>
    <w:rsid w:val="007B4EA3"/>
    <w:rsid w:val="007C5AED"/>
    <w:rsid w:val="007D4718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A040B"/>
    <w:rsid w:val="008A1D5E"/>
    <w:rsid w:val="008B33AB"/>
    <w:rsid w:val="008B6967"/>
    <w:rsid w:val="008C40E0"/>
    <w:rsid w:val="008C43C5"/>
    <w:rsid w:val="008C6136"/>
    <w:rsid w:val="008D25A0"/>
    <w:rsid w:val="008E13ED"/>
    <w:rsid w:val="008E6E86"/>
    <w:rsid w:val="0091134C"/>
    <w:rsid w:val="0094555A"/>
    <w:rsid w:val="00946C2B"/>
    <w:rsid w:val="00947A05"/>
    <w:rsid w:val="00963001"/>
    <w:rsid w:val="00964E92"/>
    <w:rsid w:val="00975F8A"/>
    <w:rsid w:val="009828F6"/>
    <w:rsid w:val="0098548E"/>
    <w:rsid w:val="00987E0C"/>
    <w:rsid w:val="00990917"/>
    <w:rsid w:val="009B6808"/>
    <w:rsid w:val="009C5D9B"/>
    <w:rsid w:val="009C638D"/>
    <w:rsid w:val="009C7E1D"/>
    <w:rsid w:val="009E0025"/>
    <w:rsid w:val="009E163F"/>
    <w:rsid w:val="009E177A"/>
    <w:rsid w:val="009E673B"/>
    <w:rsid w:val="009F28E4"/>
    <w:rsid w:val="00A018E1"/>
    <w:rsid w:val="00A06E4A"/>
    <w:rsid w:val="00A219C4"/>
    <w:rsid w:val="00A22237"/>
    <w:rsid w:val="00A23BAE"/>
    <w:rsid w:val="00A24CDD"/>
    <w:rsid w:val="00A65A9F"/>
    <w:rsid w:val="00A71026"/>
    <w:rsid w:val="00A90E13"/>
    <w:rsid w:val="00AA2413"/>
    <w:rsid w:val="00AA685D"/>
    <w:rsid w:val="00AB0530"/>
    <w:rsid w:val="00AB1F7B"/>
    <w:rsid w:val="00AC16AE"/>
    <w:rsid w:val="00AC3926"/>
    <w:rsid w:val="00AE25D9"/>
    <w:rsid w:val="00AF333D"/>
    <w:rsid w:val="00B0230D"/>
    <w:rsid w:val="00B037FE"/>
    <w:rsid w:val="00B12D94"/>
    <w:rsid w:val="00B15838"/>
    <w:rsid w:val="00B16C04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1385"/>
    <w:rsid w:val="00B84608"/>
    <w:rsid w:val="00B85698"/>
    <w:rsid w:val="00B931DB"/>
    <w:rsid w:val="00B969C3"/>
    <w:rsid w:val="00BA254D"/>
    <w:rsid w:val="00BA2B88"/>
    <w:rsid w:val="00BA4410"/>
    <w:rsid w:val="00BA5FC7"/>
    <w:rsid w:val="00BB12E3"/>
    <w:rsid w:val="00BC3557"/>
    <w:rsid w:val="00BC7979"/>
    <w:rsid w:val="00BC7F83"/>
    <w:rsid w:val="00BD2AEB"/>
    <w:rsid w:val="00BE4900"/>
    <w:rsid w:val="00BF2142"/>
    <w:rsid w:val="00BF263E"/>
    <w:rsid w:val="00C043CF"/>
    <w:rsid w:val="00C0474E"/>
    <w:rsid w:val="00C04ECC"/>
    <w:rsid w:val="00C0766A"/>
    <w:rsid w:val="00C10078"/>
    <w:rsid w:val="00C10B71"/>
    <w:rsid w:val="00C10DD0"/>
    <w:rsid w:val="00C11ABC"/>
    <w:rsid w:val="00C133D1"/>
    <w:rsid w:val="00C14FB8"/>
    <w:rsid w:val="00C3486A"/>
    <w:rsid w:val="00C74115"/>
    <w:rsid w:val="00C87ED2"/>
    <w:rsid w:val="00C91EA2"/>
    <w:rsid w:val="00C92C9A"/>
    <w:rsid w:val="00C94B3E"/>
    <w:rsid w:val="00CC174D"/>
    <w:rsid w:val="00CD4BB2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572A8"/>
    <w:rsid w:val="00D63261"/>
    <w:rsid w:val="00D6428C"/>
    <w:rsid w:val="00D718A0"/>
    <w:rsid w:val="00D836AA"/>
    <w:rsid w:val="00D83B4E"/>
    <w:rsid w:val="00D85A6D"/>
    <w:rsid w:val="00D90452"/>
    <w:rsid w:val="00D97014"/>
    <w:rsid w:val="00DA5DF6"/>
    <w:rsid w:val="00DB45EE"/>
    <w:rsid w:val="00DC4474"/>
    <w:rsid w:val="00DC4BED"/>
    <w:rsid w:val="00DC73FA"/>
    <w:rsid w:val="00DC7974"/>
    <w:rsid w:val="00DD5071"/>
    <w:rsid w:val="00DD5D29"/>
    <w:rsid w:val="00DE315F"/>
    <w:rsid w:val="00DF1CFB"/>
    <w:rsid w:val="00DF6F0B"/>
    <w:rsid w:val="00E01F49"/>
    <w:rsid w:val="00E03CED"/>
    <w:rsid w:val="00E05B1B"/>
    <w:rsid w:val="00E07A8C"/>
    <w:rsid w:val="00E1515C"/>
    <w:rsid w:val="00E23B55"/>
    <w:rsid w:val="00E5426D"/>
    <w:rsid w:val="00E57C22"/>
    <w:rsid w:val="00E64A29"/>
    <w:rsid w:val="00E874FE"/>
    <w:rsid w:val="00E94B29"/>
    <w:rsid w:val="00EA1C75"/>
    <w:rsid w:val="00EA21FA"/>
    <w:rsid w:val="00EB0B01"/>
    <w:rsid w:val="00EB373F"/>
    <w:rsid w:val="00EB607F"/>
    <w:rsid w:val="00EB64B5"/>
    <w:rsid w:val="00EC45E4"/>
    <w:rsid w:val="00EC5812"/>
    <w:rsid w:val="00EE4768"/>
    <w:rsid w:val="00EE55BD"/>
    <w:rsid w:val="00EE7F7B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16D57"/>
    <w:rsid w:val="00F36E77"/>
    <w:rsid w:val="00F376DB"/>
    <w:rsid w:val="00F56E66"/>
    <w:rsid w:val="00F60AFC"/>
    <w:rsid w:val="00F61C51"/>
    <w:rsid w:val="00F61E3C"/>
    <w:rsid w:val="00F622F9"/>
    <w:rsid w:val="00F6479B"/>
    <w:rsid w:val="00F833C5"/>
    <w:rsid w:val="00F85801"/>
    <w:rsid w:val="00F86B64"/>
    <w:rsid w:val="00F922C9"/>
    <w:rsid w:val="00F95836"/>
    <w:rsid w:val="00FB0042"/>
    <w:rsid w:val="00FB7819"/>
    <w:rsid w:val="00FC0A3D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r.mediasite.com/mediasite/Catalog/Full/28721e2087744d78a7783548c25b0cdf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a-greenteam@uw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therfile.uwm.edu/xythoswfs/webview/_xy-39693914_1?stk=BCB4BA252C391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4CFF-1D71-4F21-B298-874D820B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alexopo2</dc:creator>
  <cp:lastModifiedBy>Peter Alexopoulos</cp:lastModifiedBy>
  <cp:revision>46</cp:revision>
  <cp:lastPrinted>2014-11-14T17:37:00Z</cp:lastPrinted>
  <dcterms:created xsi:type="dcterms:W3CDTF">2014-12-30T16:10:00Z</dcterms:created>
  <dcterms:modified xsi:type="dcterms:W3CDTF">2015-01-15T15:43:00Z</dcterms:modified>
</cp:coreProperties>
</file>