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6C" w:rsidRPr="009C466C" w:rsidRDefault="009C466C" w:rsidP="009C466C">
      <w:pPr>
        <w:jc w:val="center"/>
        <w:rPr>
          <w:sz w:val="32"/>
          <w:szCs w:val="32"/>
        </w:rPr>
      </w:pPr>
      <w:r w:rsidRPr="009C466C">
        <w:rPr>
          <w:b/>
          <w:sz w:val="32"/>
          <w:szCs w:val="32"/>
        </w:rPr>
        <w:t xml:space="preserve">Safety Guidelines for Field </w:t>
      </w:r>
      <w:r w:rsidR="001A6436">
        <w:rPr>
          <w:b/>
          <w:sz w:val="32"/>
          <w:szCs w:val="32"/>
        </w:rPr>
        <w:t>Work</w:t>
      </w:r>
      <w:r w:rsidRPr="009C466C">
        <w:rPr>
          <w:b/>
          <w:sz w:val="32"/>
          <w:szCs w:val="32"/>
        </w:rPr>
        <w:t xml:space="preserve"> at the UWM Field Station</w:t>
      </w:r>
    </w:p>
    <w:p w:rsidR="009C466C" w:rsidRDefault="009C466C" w:rsidP="009C466C"/>
    <w:p w:rsidR="009C466C" w:rsidRPr="009C466C" w:rsidRDefault="009C466C" w:rsidP="009C466C">
      <w:r w:rsidRPr="009C466C">
        <w:t>Learn about potentially hazardous plants, animals, terrain</w:t>
      </w:r>
      <w:r>
        <w:t>,</w:t>
      </w:r>
      <w:r w:rsidRPr="009C466C">
        <w:t xml:space="preserve"> and weather conditions</w:t>
      </w:r>
      <w:r>
        <w:t>.  Especially review the list below.</w:t>
      </w:r>
      <w:r w:rsidR="006D161C">
        <w:t xml:space="preserve">  </w:t>
      </w:r>
      <w:r w:rsidRPr="009C466C">
        <w:t>A first aid kit is maintained at the Field Station Building.  If serious medical attention is needed, call 911.  For help with minor medical attention call the Field</w:t>
      </w:r>
      <w:r w:rsidR="004B366D">
        <w:t xml:space="preserve"> Station number, (262) 675-6844</w:t>
      </w:r>
      <w:r w:rsidRPr="009C466C">
        <w:t xml:space="preserve">.  </w:t>
      </w:r>
    </w:p>
    <w:p w:rsidR="009C466C" w:rsidRPr="009C466C" w:rsidRDefault="009C466C" w:rsidP="009C466C">
      <w:pPr>
        <w:rPr>
          <w:b/>
        </w:rPr>
      </w:pPr>
    </w:p>
    <w:p w:rsidR="002A4623" w:rsidRPr="002A4623" w:rsidRDefault="002A4623" w:rsidP="002A4623">
      <w:pPr>
        <w:spacing w:before="100" w:beforeAutospacing="1" w:after="100" w:afterAutospacing="1"/>
        <w:rPr>
          <w:rFonts w:eastAsia="Times New Roman"/>
          <w:sz w:val="24"/>
          <w:szCs w:val="24"/>
        </w:rPr>
      </w:pPr>
      <w:r w:rsidRPr="002A4623">
        <w:rPr>
          <w:rFonts w:eastAsia="Times New Roman"/>
          <w:color w:val="000000"/>
          <w:sz w:val="24"/>
          <w:szCs w:val="24"/>
        </w:rPr>
        <w:t xml:space="preserve">If you are injured while working in the field, report it to your immediate supervisor. </w:t>
      </w:r>
    </w:p>
    <w:p w:rsidR="002A4623" w:rsidRPr="002A4623" w:rsidRDefault="002A4623" w:rsidP="002A4623">
      <w:pPr>
        <w:spacing w:before="100" w:beforeAutospacing="1" w:after="100" w:afterAutospacing="1"/>
        <w:ind w:firstLine="720"/>
        <w:rPr>
          <w:rFonts w:eastAsia="Times New Roman"/>
          <w:sz w:val="24"/>
          <w:szCs w:val="24"/>
        </w:rPr>
      </w:pPr>
      <w:r w:rsidRPr="002A4623">
        <w:rPr>
          <w:rFonts w:eastAsia="Times New Roman"/>
          <w:b/>
          <w:bCs/>
          <w:color w:val="000000"/>
          <w:sz w:val="18"/>
          <w:szCs w:val="18"/>
        </w:rPr>
        <w:t xml:space="preserve">--If you are faculty, staff, graduate teaching or graduate project assistants, </w:t>
      </w:r>
      <w:r w:rsidRPr="002A4623">
        <w:rPr>
          <w:rFonts w:eastAsia="Times New Roman"/>
          <w:b/>
          <w:bCs/>
          <w:sz w:val="18"/>
          <w:szCs w:val="18"/>
        </w:rPr>
        <w:t>graduate student research assistant </w:t>
      </w:r>
      <w:r w:rsidRPr="002A4623">
        <w:rPr>
          <w:rFonts w:eastAsia="Times New Roman"/>
          <w:b/>
          <w:bCs/>
          <w:color w:val="000000"/>
          <w:sz w:val="18"/>
          <w:szCs w:val="18"/>
        </w:rPr>
        <w:t>or undergraduate student employee (anyone pay rolled by UWM) complete:</w:t>
      </w:r>
      <w:r w:rsidRPr="002A4623">
        <w:rPr>
          <w:rFonts w:eastAsia="Times New Roman"/>
          <w:b/>
          <w:bCs/>
          <w:color w:val="000000"/>
          <w:sz w:val="24"/>
          <w:szCs w:val="24"/>
        </w:rPr>
        <w:t xml:space="preserve"> </w:t>
      </w:r>
    </w:p>
    <w:p w:rsidR="002A4623" w:rsidRPr="002A4623" w:rsidRDefault="002A4623" w:rsidP="002A4623">
      <w:pPr>
        <w:spacing w:before="100" w:beforeAutospacing="1" w:after="100" w:afterAutospacing="1"/>
        <w:ind w:left="720"/>
        <w:rPr>
          <w:rFonts w:eastAsia="Times New Roman"/>
          <w:sz w:val="24"/>
          <w:szCs w:val="24"/>
        </w:rPr>
      </w:pPr>
      <w:r w:rsidRPr="002A4623">
        <w:rPr>
          <w:rFonts w:eastAsia="Times New Roman"/>
          <w:color w:val="000000"/>
          <w:sz w:val="18"/>
          <w:szCs w:val="18"/>
        </w:rPr>
        <w:t xml:space="preserve">Employee’s Work Injury and Illness Report (Form is available at: </w:t>
      </w:r>
      <w:hyperlink r:id="rId5" w:tgtFrame="_blank" w:history="1">
        <w:r w:rsidRPr="002A4623">
          <w:rPr>
            <w:rFonts w:eastAsia="Times New Roman"/>
            <w:color w:val="0000FF"/>
            <w:sz w:val="18"/>
            <w:szCs w:val="18"/>
            <w:u w:val="single"/>
          </w:rPr>
          <w:t>https://uwm.edu/safety-health/forms/</w:t>
        </w:r>
      </w:hyperlink>
      <w:r w:rsidRPr="002A4623">
        <w:rPr>
          <w:rFonts w:eastAsia="Times New Roman"/>
          <w:color w:val="000000"/>
          <w:sz w:val="18"/>
          <w:szCs w:val="18"/>
        </w:rPr>
        <w:t>). Send completed report to the Worker’s Compensation Coordinator within 24 hours after being notified of a work-related injury or illness. For questions related to worker’s compensation, please contact the Central Human Resources office at (414) 229-4463.</w:t>
      </w:r>
    </w:p>
    <w:p w:rsidR="002A4623" w:rsidRPr="002A4623" w:rsidRDefault="002A4623" w:rsidP="002A4623">
      <w:pPr>
        <w:spacing w:before="100" w:beforeAutospacing="1" w:after="100" w:afterAutospacing="1"/>
        <w:ind w:firstLine="720"/>
        <w:rPr>
          <w:rFonts w:eastAsia="Times New Roman"/>
          <w:sz w:val="24"/>
          <w:szCs w:val="24"/>
        </w:rPr>
      </w:pPr>
      <w:r w:rsidRPr="002A4623">
        <w:rPr>
          <w:rFonts w:eastAsia="Times New Roman"/>
          <w:b/>
          <w:bCs/>
          <w:color w:val="000000"/>
          <w:sz w:val="18"/>
          <w:szCs w:val="18"/>
        </w:rPr>
        <w:t>--If you are a, Volunteer, undergraduate student not employed by UWM or an Undergraduate SURF grant</w:t>
      </w:r>
      <w:r w:rsidRPr="002A4623">
        <w:rPr>
          <w:rFonts w:eastAsia="Times New Roman"/>
          <w:b/>
          <w:bCs/>
          <w:color w:val="000000"/>
          <w:sz w:val="18"/>
          <w:szCs w:val="18"/>
          <w:shd w:val="clear" w:color="auto" w:fill="FFFF00"/>
        </w:rPr>
        <w:t xml:space="preserve"> </w:t>
      </w:r>
      <w:r w:rsidRPr="002A4623">
        <w:rPr>
          <w:rFonts w:eastAsia="Times New Roman"/>
          <w:b/>
          <w:bCs/>
          <w:color w:val="000000"/>
          <w:sz w:val="18"/>
          <w:szCs w:val="18"/>
        </w:rPr>
        <w:t>recipient complete:</w:t>
      </w:r>
      <w:r w:rsidRPr="002A4623">
        <w:rPr>
          <w:rFonts w:eastAsia="Times New Roman"/>
          <w:color w:val="000000"/>
          <w:sz w:val="24"/>
          <w:szCs w:val="24"/>
        </w:rPr>
        <w:t xml:space="preserve"> </w:t>
      </w:r>
    </w:p>
    <w:p w:rsidR="002A4623" w:rsidRPr="002A4623" w:rsidRDefault="002A4623" w:rsidP="002A4623">
      <w:pPr>
        <w:spacing w:before="100" w:beforeAutospacing="1" w:after="100" w:afterAutospacing="1"/>
        <w:ind w:left="720"/>
        <w:rPr>
          <w:rFonts w:eastAsia="Times New Roman"/>
          <w:sz w:val="24"/>
          <w:szCs w:val="24"/>
        </w:rPr>
      </w:pPr>
      <w:r w:rsidRPr="002A4623">
        <w:rPr>
          <w:rFonts w:eastAsia="Times New Roman"/>
          <w:color w:val="000000"/>
          <w:sz w:val="18"/>
          <w:szCs w:val="18"/>
        </w:rPr>
        <w:t xml:space="preserve">General Incident Report 300A2. (Form is available at </w:t>
      </w:r>
      <w:hyperlink r:id="rId6" w:tgtFrame="_blank" w:history="1">
        <w:r w:rsidRPr="002A4623">
          <w:rPr>
            <w:rFonts w:eastAsia="Times New Roman"/>
            <w:color w:val="0000FF"/>
            <w:sz w:val="18"/>
            <w:szCs w:val="18"/>
            <w:u w:val="single"/>
          </w:rPr>
          <w:t>https://uwm.edu/safety-health/forms/</w:t>
        </w:r>
      </w:hyperlink>
      <w:r w:rsidRPr="002A4623">
        <w:rPr>
          <w:rFonts w:eastAsia="Times New Roman"/>
          <w:color w:val="000000"/>
          <w:sz w:val="18"/>
          <w:szCs w:val="18"/>
        </w:rPr>
        <w:t>)</w:t>
      </w:r>
    </w:p>
    <w:p w:rsidR="007D325F" w:rsidRDefault="007D325F" w:rsidP="009C466C">
      <w:bookmarkStart w:id="0" w:name="_GoBack"/>
      <w:bookmarkEnd w:id="0"/>
    </w:p>
    <w:p w:rsidR="009C466C" w:rsidRPr="009C466C" w:rsidRDefault="009C466C" w:rsidP="009C466C">
      <w:pPr>
        <w:rPr>
          <w:b/>
          <w:sz w:val="28"/>
          <w:szCs w:val="28"/>
        </w:rPr>
      </w:pPr>
      <w:r w:rsidRPr="009C466C">
        <w:rPr>
          <w:b/>
          <w:sz w:val="28"/>
          <w:szCs w:val="28"/>
        </w:rPr>
        <w:t>Primary risks and precautions specific to work at the UWM Field Station:</w:t>
      </w:r>
    </w:p>
    <w:p w:rsidR="009C466C" w:rsidRPr="009C466C" w:rsidRDefault="009C466C" w:rsidP="009C466C"/>
    <w:p w:rsidR="009C466C" w:rsidRPr="007D325F" w:rsidRDefault="009C466C" w:rsidP="009C466C">
      <w:pPr>
        <w:numPr>
          <w:ilvl w:val="0"/>
          <w:numId w:val="1"/>
        </w:numPr>
        <w:rPr>
          <w:b/>
          <w:sz w:val="24"/>
          <w:szCs w:val="24"/>
        </w:rPr>
      </w:pPr>
      <w:r w:rsidRPr="007D325F">
        <w:rPr>
          <w:b/>
          <w:sz w:val="24"/>
          <w:szCs w:val="24"/>
        </w:rPr>
        <w:t xml:space="preserve">For </w:t>
      </w:r>
      <w:r w:rsidR="007D325F">
        <w:rPr>
          <w:b/>
          <w:sz w:val="24"/>
          <w:szCs w:val="24"/>
        </w:rPr>
        <w:t>work in remote (off-</w:t>
      </w:r>
      <w:r w:rsidRPr="007D325F">
        <w:rPr>
          <w:b/>
          <w:sz w:val="24"/>
          <w:szCs w:val="24"/>
        </w:rPr>
        <w:t>boardwalk) areas of the Cedarburg Bog:</w:t>
      </w:r>
    </w:p>
    <w:p w:rsidR="009C466C" w:rsidRDefault="009C466C" w:rsidP="009C466C">
      <w:pPr>
        <w:numPr>
          <w:ilvl w:val="1"/>
          <w:numId w:val="1"/>
        </w:numPr>
      </w:pPr>
      <w:r w:rsidRPr="009C466C">
        <w:t>Never go into the Bog without a compass</w:t>
      </w:r>
      <w:r w:rsidR="00D5691D">
        <w:t xml:space="preserve"> or GPS device</w:t>
      </w:r>
      <w:r w:rsidRPr="009C466C">
        <w:t xml:space="preserve"> and the knowledge to use it, getting lost is easy.</w:t>
      </w:r>
    </w:p>
    <w:p w:rsidR="004B366D" w:rsidRDefault="004B366D" w:rsidP="009C466C">
      <w:pPr>
        <w:numPr>
          <w:ilvl w:val="1"/>
          <w:numId w:val="1"/>
        </w:numPr>
      </w:pPr>
      <w:r>
        <w:t>Take a cell phone with you so that you can call for help if needed.</w:t>
      </w:r>
    </w:p>
    <w:p w:rsidR="007D325F" w:rsidRPr="009C466C" w:rsidRDefault="007D325F" w:rsidP="009C466C">
      <w:pPr>
        <w:numPr>
          <w:ilvl w:val="1"/>
          <w:numId w:val="1"/>
        </w:numPr>
      </w:pPr>
      <w:r>
        <w:t>Make sure that you notify Field Station staff that you are going into the Bog including where you are going and your planned route to get there.  Field Station staff can provide advice regarding the best access points and routes.</w:t>
      </w:r>
    </w:p>
    <w:p w:rsidR="009C466C" w:rsidRPr="009C466C" w:rsidRDefault="009C466C" w:rsidP="0047652C">
      <w:pPr>
        <w:numPr>
          <w:ilvl w:val="1"/>
          <w:numId w:val="1"/>
        </w:numPr>
      </w:pPr>
      <w:r w:rsidRPr="004B366D">
        <w:rPr>
          <w:b/>
        </w:rPr>
        <w:t>Poison sumac</w:t>
      </w:r>
      <w:r w:rsidRPr="009C466C">
        <w:t xml:space="preserve">, a small to large shrub, is ubiquitous in the Bog.  It has the same toxic oil as poison ivy on the surface of the plant, winter and summer.  It is impossible to travel through the Bog (off boardwalk) and not contact poison sumac; you cannot “watch-out” for it.  </w:t>
      </w:r>
      <w:r w:rsidRPr="004B366D">
        <w:rPr>
          <w:u w:val="single"/>
        </w:rPr>
        <w:t>If you know that you have a severe allergy to poison ivy, you should not go off boardwalk at all.</w:t>
      </w:r>
      <w:r w:rsidRPr="009C466C">
        <w:t xml:space="preserve">  Here is how to avoid getting poison sumac if you are not severely allergic:  1) Wear long pants and shirt, 2) When you get out of the Bog, take a thorough shower as soon as possible (we have showers at the Station), 3) Wash thoroughly with Fels-</w:t>
      </w:r>
      <w:proofErr w:type="spellStart"/>
      <w:r w:rsidRPr="009C466C">
        <w:t>Naptha</w:t>
      </w:r>
      <w:proofErr w:type="spellEnd"/>
      <w:r w:rsidRPr="009C466C">
        <w:t xml:space="preserve"> laundry soap (available at the Station) or </w:t>
      </w:r>
      <w:proofErr w:type="spellStart"/>
      <w:r w:rsidRPr="009C466C">
        <w:t>Technu</w:t>
      </w:r>
      <w:proofErr w:type="spellEnd"/>
      <w:r w:rsidRPr="009C466C">
        <w:t xml:space="preserve"> soap; these soaps remove the heavy oil rather than spreading it, 4) Put all your field clothing in a bag and be careful with it until it is laundered.</w:t>
      </w:r>
    </w:p>
    <w:p w:rsidR="009C466C" w:rsidRPr="009C466C" w:rsidRDefault="009C466C" w:rsidP="009C466C">
      <w:pPr>
        <w:numPr>
          <w:ilvl w:val="1"/>
          <w:numId w:val="1"/>
        </w:numPr>
      </w:pPr>
      <w:r w:rsidRPr="009C466C">
        <w:t>The most common risk of injury in the Bog (other than poison sumac) is a severe poke in the eye.  Wear safety glasses; they also make travel through the Bog more comfortable because you don’t have to always worry about your eyes.</w:t>
      </w:r>
    </w:p>
    <w:p w:rsidR="009C466C" w:rsidRPr="009C466C" w:rsidRDefault="009C466C" w:rsidP="009C466C">
      <w:pPr>
        <w:numPr>
          <w:ilvl w:val="1"/>
          <w:numId w:val="1"/>
        </w:numPr>
      </w:pPr>
      <w:r w:rsidRPr="009C466C">
        <w:t xml:space="preserve">Winter, when the Bog is frozen, is the easiest time to travel through the Bog.  There is a severe risk of hypothermia if you </w:t>
      </w:r>
      <w:r w:rsidR="004B366D">
        <w:t xml:space="preserve">were </w:t>
      </w:r>
      <w:proofErr w:type="gramStart"/>
      <w:r w:rsidR="004B366D">
        <w:t xml:space="preserve">to </w:t>
      </w:r>
      <w:r w:rsidRPr="009C466C">
        <w:t xml:space="preserve"> break</w:t>
      </w:r>
      <w:proofErr w:type="gramEnd"/>
      <w:r w:rsidRPr="009C466C">
        <w:t xml:space="preserve"> through the ice.  There are a few places in the Bog that are known to frequently have “bad ice” most winters.  Review your route in the Bog with Field Station staff who can tel</w:t>
      </w:r>
      <w:r w:rsidR="004B366D">
        <w:t>l you where to expect weak ice.</w:t>
      </w:r>
    </w:p>
    <w:p w:rsidR="009C466C" w:rsidRPr="009C466C" w:rsidRDefault="009C466C" w:rsidP="009C466C">
      <w:pPr>
        <w:numPr>
          <w:ilvl w:val="0"/>
          <w:numId w:val="1"/>
        </w:numPr>
      </w:pPr>
      <w:r w:rsidRPr="009C466C">
        <w:t>Poison ivy – Learn to identify it; cover up; never wear anything but closed, solid shoes.</w:t>
      </w:r>
    </w:p>
    <w:p w:rsidR="009C466C" w:rsidRPr="009C466C" w:rsidRDefault="009C466C" w:rsidP="009C466C">
      <w:pPr>
        <w:numPr>
          <w:ilvl w:val="0"/>
          <w:numId w:val="1"/>
        </w:numPr>
      </w:pPr>
      <w:r w:rsidRPr="009C466C">
        <w:lastRenderedPageBreak/>
        <w:t xml:space="preserve">Stinging insects – Many species of bees, wasps and hornets (If you are allergic, make sure you carry your emergency medication, e.g. </w:t>
      </w:r>
      <w:proofErr w:type="spellStart"/>
      <w:r w:rsidRPr="009C466C">
        <w:t>Epipen</w:t>
      </w:r>
      <w:proofErr w:type="spellEnd"/>
      <w:r w:rsidRPr="009C466C">
        <w:t>).  There are two that are most aggressive, common, and pose the greatest risk:</w:t>
      </w:r>
    </w:p>
    <w:p w:rsidR="009C466C" w:rsidRPr="009C466C" w:rsidRDefault="009C466C" w:rsidP="009C466C">
      <w:pPr>
        <w:numPr>
          <w:ilvl w:val="1"/>
          <w:numId w:val="1"/>
        </w:numPr>
      </w:pPr>
      <w:r w:rsidRPr="009C466C">
        <w:t>German yellow jackets – nest in the ground (upland and wetland), are very aggressive, and are common.  You seldom see the nest before you are getting swarmed – run.</w:t>
      </w:r>
    </w:p>
    <w:p w:rsidR="009C466C" w:rsidRPr="009C466C" w:rsidRDefault="009C466C" w:rsidP="009C466C">
      <w:pPr>
        <w:numPr>
          <w:ilvl w:val="1"/>
          <w:numId w:val="1"/>
        </w:numPr>
      </w:pPr>
      <w:r w:rsidRPr="009C466C">
        <w:t>Bald faced hornets – make large, closed, paper nests.  They are less common that German yellow jackets and you stand some chance of seeing their nest before you get too close, but their nests can be very low and hidden in the vegetation – run.</w:t>
      </w:r>
    </w:p>
    <w:p w:rsidR="00FB6DAC" w:rsidRDefault="009C466C" w:rsidP="009C466C">
      <w:pPr>
        <w:numPr>
          <w:ilvl w:val="0"/>
          <w:numId w:val="1"/>
        </w:numPr>
      </w:pPr>
      <w:r w:rsidRPr="009C466C">
        <w:t xml:space="preserve">Mosquitoes – cover up.  Deer flies (late-June to mid-August) – wear a hat.  </w:t>
      </w:r>
    </w:p>
    <w:p w:rsidR="009C466C" w:rsidRPr="009C466C" w:rsidRDefault="009C466C" w:rsidP="009C466C">
      <w:pPr>
        <w:numPr>
          <w:ilvl w:val="0"/>
          <w:numId w:val="1"/>
        </w:numPr>
      </w:pPr>
      <w:r w:rsidRPr="009C466C">
        <w:t xml:space="preserve">Ticks – we have few, they are </w:t>
      </w:r>
      <w:r w:rsidR="00FB6DAC">
        <w:t>uncommon but increasing – Use repellant, cover up, tuck your pants, check yourself</w:t>
      </w:r>
      <w:r w:rsidR="00CB5957">
        <w:t>.</w:t>
      </w:r>
      <w:r w:rsidR="00374193">
        <w:t xml:space="preserve">  The small numbers of ticks we have include both wood and deer ticks.  Deer ticks can carry Lyme disease.  If you find an embedded tick, educate yourself about Lyme disease and its symptom.</w:t>
      </w:r>
    </w:p>
    <w:p w:rsidR="009C466C" w:rsidRPr="009C466C" w:rsidRDefault="009C466C" w:rsidP="009C466C">
      <w:pPr>
        <w:numPr>
          <w:ilvl w:val="0"/>
          <w:numId w:val="1"/>
        </w:numPr>
      </w:pPr>
      <w:r w:rsidRPr="009C466C">
        <w:t>Snakes – we have no poisonous snakes and only one snake that can bite and cause injury.   N</w:t>
      </w:r>
      <w:r w:rsidRPr="009C466C">
        <w:rPr>
          <w:iCs/>
        </w:rPr>
        <w:t>orthern water snake</w:t>
      </w:r>
      <w:r w:rsidRPr="009C466C">
        <w:t xml:space="preserve"> (</w:t>
      </w:r>
      <w:proofErr w:type="spellStart"/>
      <w:r w:rsidRPr="009C466C">
        <w:rPr>
          <w:i/>
          <w:iCs/>
        </w:rPr>
        <w:t>Nerodia</w:t>
      </w:r>
      <w:proofErr w:type="spellEnd"/>
      <w:r w:rsidRPr="009C466C">
        <w:rPr>
          <w:i/>
          <w:iCs/>
        </w:rPr>
        <w:t xml:space="preserve"> </w:t>
      </w:r>
      <w:proofErr w:type="spellStart"/>
      <w:r w:rsidRPr="009C466C">
        <w:rPr>
          <w:i/>
          <w:iCs/>
        </w:rPr>
        <w:t>sipedon</w:t>
      </w:r>
      <w:proofErr w:type="spellEnd"/>
      <w:r w:rsidRPr="009C466C">
        <w:t>) is found in Mud Lake, but it is uncommon.  If a snake swims aggressively toward you in the water, avoid it.</w:t>
      </w:r>
    </w:p>
    <w:p w:rsidR="009C466C" w:rsidRDefault="009C466C" w:rsidP="009C466C">
      <w:pPr>
        <w:numPr>
          <w:ilvl w:val="0"/>
          <w:numId w:val="1"/>
        </w:numPr>
      </w:pPr>
      <w:r w:rsidRPr="009C466C">
        <w:t>Skunks, raccoons, and opossums can carry rabies and/or distemper.  Skunks are the greatest risk because they live a long time after they are infected with rabies.  If you see a skunk (or any of these animals) active during the day, give it a wide berth.  Do not touch bats.</w:t>
      </w:r>
    </w:p>
    <w:p w:rsidR="000C701E" w:rsidRDefault="009C466C" w:rsidP="009C466C">
      <w:pPr>
        <w:numPr>
          <w:ilvl w:val="0"/>
          <w:numId w:val="1"/>
        </w:numPr>
      </w:pPr>
      <w:r w:rsidRPr="009C466C">
        <w:t>Power equipment – Know your equipment.  For example, do not use a chain saw or brush cutter unless you are thoroughly trained.</w:t>
      </w:r>
    </w:p>
    <w:p w:rsidR="00910517" w:rsidRDefault="00910517" w:rsidP="009C466C">
      <w:pPr>
        <w:numPr>
          <w:ilvl w:val="0"/>
          <w:numId w:val="1"/>
        </w:numPr>
      </w:pPr>
      <w:r>
        <w:t>Know whether it is hunting season, especially deer gun season – wear a blaze orange vest, available from the Field Station.</w:t>
      </w:r>
      <w:r w:rsidR="000E1E4B">
        <w:t xml:space="preserve">  Hunting is allowed in the Cedarburg Bog, but not allowed on University land.  However, all the land surrounding the Field Station is hunted.</w:t>
      </w:r>
    </w:p>
    <w:p w:rsidR="00420B21" w:rsidRDefault="00420B21" w:rsidP="009C466C">
      <w:pPr>
        <w:numPr>
          <w:ilvl w:val="0"/>
          <w:numId w:val="1"/>
        </w:numPr>
      </w:pPr>
      <w:r>
        <w:t>There are many dead standing trees in the Field Station forest that have been killed by Emerald Ash Borer and other natural causes.  Whole trees and parts of trees fall in windy conditions.  Avoid working in the woods when it is excessively windy.  Be very alert to the sound of breaking or falling trees.</w:t>
      </w:r>
    </w:p>
    <w:p w:rsidR="00FB340A" w:rsidRDefault="00FB340A" w:rsidP="009C466C">
      <w:pPr>
        <w:numPr>
          <w:ilvl w:val="0"/>
          <w:numId w:val="1"/>
        </w:numPr>
      </w:pPr>
      <w:r>
        <w:t>This list of “Risks and Precautions” obviously does not cover issues related to working with animals.  It is assumed that you are trained to work safely with the animals you might observe or handle.  An approved Animal Care and Use Protocol is required for all research on vertebrate animals.</w:t>
      </w:r>
    </w:p>
    <w:p w:rsidR="000D414D" w:rsidRPr="000D414D" w:rsidRDefault="00374193" w:rsidP="000D414D">
      <w:pPr>
        <w:numPr>
          <w:ilvl w:val="0"/>
          <w:numId w:val="1"/>
        </w:numPr>
        <w:spacing w:line="254" w:lineRule="exact"/>
        <w:ind w:right="-59"/>
        <w:rPr>
          <w:rFonts w:eastAsia="Times New Roman"/>
          <w:b/>
          <w:bCs/>
          <w:color w:val="231F20"/>
          <w:sz w:val="24"/>
          <w:szCs w:val="24"/>
        </w:rPr>
      </w:pPr>
      <w:r>
        <w:t xml:space="preserve">This list also does not include standard things </w:t>
      </w:r>
      <w:r w:rsidR="000D414D">
        <w:t>such as avoid getting sunburned</w:t>
      </w:r>
      <w:r w:rsidR="00C42CEF">
        <w:t>, dress</w:t>
      </w:r>
      <w:r w:rsidR="000D414D">
        <w:t xml:space="preserve"> appropriately for the weather, always stay appropriately hydrated and do not eat anything that you cannot identify, etc.  </w:t>
      </w:r>
    </w:p>
    <w:p w:rsidR="000D414D" w:rsidRPr="0094595B" w:rsidRDefault="000D414D" w:rsidP="000D414D">
      <w:pPr>
        <w:spacing w:line="254" w:lineRule="exact"/>
        <w:ind w:left="720" w:right="-59"/>
        <w:rPr>
          <w:rFonts w:eastAsia="Times New Roman"/>
          <w:b/>
          <w:bCs/>
          <w:color w:val="231F20"/>
        </w:rPr>
      </w:pPr>
    </w:p>
    <w:p w:rsidR="000D414D" w:rsidRPr="0094595B" w:rsidRDefault="000D414D" w:rsidP="000D414D">
      <w:pPr>
        <w:pStyle w:val="ListParagraph"/>
        <w:spacing w:line="254" w:lineRule="exact"/>
        <w:ind w:right="-59"/>
        <w:rPr>
          <w:rFonts w:eastAsia="Times New Roman"/>
          <w:b/>
          <w:bCs/>
          <w:color w:val="231F20"/>
        </w:rPr>
      </w:pPr>
      <w:r w:rsidRPr="0094595B">
        <w:rPr>
          <w:rFonts w:eastAsia="Times New Roman"/>
          <w:b/>
          <w:bCs/>
          <w:color w:val="231F20"/>
        </w:rPr>
        <w:t xml:space="preserve">Resources: </w:t>
      </w:r>
    </w:p>
    <w:p w:rsidR="000D414D" w:rsidRPr="0094595B" w:rsidRDefault="000D414D" w:rsidP="000D414D">
      <w:pPr>
        <w:pStyle w:val="ListParagraph"/>
        <w:spacing w:line="254" w:lineRule="exact"/>
        <w:ind w:right="-59"/>
        <w:rPr>
          <w:rFonts w:eastAsia="Times New Roman"/>
          <w:b/>
          <w:bCs/>
          <w:color w:val="231F20"/>
          <w:sz w:val="20"/>
          <w:szCs w:val="20"/>
        </w:rPr>
      </w:pPr>
    </w:p>
    <w:p w:rsidR="0094595B" w:rsidRPr="0094595B" w:rsidRDefault="0094595B" w:rsidP="000D414D">
      <w:pPr>
        <w:pStyle w:val="ListParagraph"/>
        <w:spacing w:before="4" w:line="242" w:lineRule="auto"/>
        <w:ind w:right="-61"/>
        <w:rPr>
          <w:rFonts w:eastAsia="Times New Roman"/>
        </w:rPr>
      </w:pPr>
    </w:p>
    <w:p w:rsidR="000D414D" w:rsidRDefault="000D414D" w:rsidP="000D414D">
      <w:pPr>
        <w:pStyle w:val="ListParagraph"/>
        <w:spacing w:line="242" w:lineRule="auto"/>
        <w:ind w:right="-3"/>
        <w:rPr>
          <w:rStyle w:val="Hyperlink"/>
          <w:rFonts w:eastAsia="Times New Roman"/>
          <w:i/>
          <w:color w:val="231F20"/>
          <w:u w:val="none"/>
        </w:rPr>
      </w:pPr>
      <w:r w:rsidRPr="0094595B">
        <w:rPr>
          <w:rFonts w:eastAsia="Times New Roman"/>
          <w:b/>
          <w:bCs/>
          <w:color w:val="231F20"/>
          <w:spacing w:val="-11"/>
        </w:rPr>
        <w:t>P</w:t>
      </w:r>
      <w:r w:rsidRPr="0094595B">
        <w:rPr>
          <w:rFonts w:eastAsia="Times New Roman"/>
          <w:b/>
          <w:bCs/>
          <w:color w:val="231F20"/>
        </w:rPr>
        <w:t>oison</w:t>
      </w:r>
      <w:r w:rsidRPr="0094595B">
        <w:rPr>
          <w:rFonts w:eastAsia="Times New Roman"/>
          <w:b/>
          <w:bCs/>
          <w:color w:val="231F20"/>
          <w:spacing w:val="14"/>
        </w:rPr>
        <w:t xml:space="preserve"> </w:t>
      </w:r>
      <w:r w:rsidRPr="0094595B">
        <w:rPr>
          <w:rFonts w:eastAsia="Times New Roman"/>
          <w:b/>
          <w:bCs/>
          <w:color w:val="231F20"/>
          <w:spacing w:val="6"/>
        </w:rPr>
        <w:t>P</w:t>
      </w:r>
      <w:r w:rsidRPr="0094595B">
        <w:rPr>
          <w:rFonts w:eastAsia="Times New Roman"/>
          <w:b/>
          <w:bCs/>
          <w:color w:val="231F20"/>
        </w:rPr>
        <w:t>lants:</w:t>
      </w:r>
      <w:r w:rsidRPr="0094595B">
        <w:rPr>
          <w:rFonts w:eastAsia="Times New Roman"/>
          <w:b/>
          <w:bCs/>
          <w:color w:val="231F20"/>
          <w:spacing w:val="-5"/>
        </w:rPr>
        <w:t xml:space="preserve"> </w:t>
      </w:r>
      <w:r w:rsidRPr="0094595B">
        <w:rPr>
          <w:rFonts w:eastAsia="Times New Roman"/>
          <w:color w:val="231F20"/>
        </w:rPr>
        <w:t>Mo</w:t>
      </w:r>
      <w:r w:rsidRPr="0094595B">
        <w:rPr>
          <w:rFonts w:eastAsia="Times New Roman"/>
          <w:color w:val="231F20"/>
          <w:spacing w:val="-2"/>
        </w:rPr>
        <w:t>r</w:t>
      </w:r>
      <w:r w:rsidRPr="0094595B">
        <w:rPr>
          <w:rFonts w:eastAsia="Times New Roman"/>
          <w:color w:val="231F20"/>
        </w:rPr>
        <w:t>e</w:t>
      </w:r>
      <w:r w:rsidRPr="0094595B">
        <w:rPr>
          <w:rFonts w:eastAsia="Times New Roman"/>
          <w:color w:val="231F20"/>
          <w:spacing w:val="21"/>
        </w:rPr>
        <w:t xml:space="preserve"> </w:t>
      </w:r>
      <w:r w:rsidRPr="0094595B">
        <w:rPr>
          <w:rFonts w:eastAsia="Times New Roman"/>
          <w:color w:val="231F20"/>
        </w:rPr>
        <w:t>in</w:t>
      </w:r>
      <w:r w:rsidRPr="0094595B">
        <w:rPr>
          <w:rFonts w:eastAsia="Times New Roman"/>
          <w:color w:val="231F20"/>
          <w:spacing w:val="1"/>
        </w:rPr>
        <w:t>f</w:t>
      </w:r>
      <w:r w:rsidRPr="0094595B">
        <w:rPr>
          <w:rFonts w:eastAsia="Times New Roman"/>
          <w:color w:val="231F20"/>
        </w:rPr>
        <w:t>o</w:t>
      </w:r>
      <w:r w:rsidRPr="0094595B">
        <w:rPr>
          <w:rFonts w:eastAsia="Times New Roman"/>
          <w:color w:val="231F20"/>
          <w:spacing w:val="1"/>
        </w:rPr>
        <w:t>r</w:t>
      </w:r>
      <w:r w:rsidRPr="0094595B">
        <w:rPr>
          <w:rFonts w:eastAsia="Times New Roman"/>
          <w:color w:val="231F20"/>
        </w:rPr>
        <w:t>mati</w:t>
      </w:r>
      <w:r w:rsidRPr="0094595B">
        <w:rPr>
          <w:rFonts w:eastAsia="Times New Roman"/>
          <w:color w:val="231F20"/>
          <w:spacing w:val="-1"/>
        </w:rPr>
        <w:t>o</w:t>
      </w:r>
      <w:r w:rsidRPr="0094595B">
        <w:rPr>
          <w:rFonts w:eastAsia="Times New Roman"/>
          <w:color w:val="231F20"/>
        </w:rPr>
        <w:t>n</w:t>
      </w:r>
      <w:r w:rsidRPr="0094595B">
        <w:rPr>
          <w:rFonts w:eastAsia="Times New Roman"/>
          <w:color w:val="231F20"/>
          <w:spacing w:val="16"/>
        </w:rPr>
        <w:t xml:space="preserve"> </w:t>
      </w:r>
      <w:r w:rsidRPr="0094595B">
        <w:rPr>
          <w:rFonts w:eastAsia="Times New Roman"/>
          <w:color w:val="231F20"/>
        </w:rPr>
        <w:t>about</w:t>
      </w:r>
      <w:r w:rsidRPr="0094595B">
        <w:rPr>
          <w:rFonts w:eastAsia="Times New Roman"/>
          <w:color w:val="231F20"/>
          <w:spacing w:val="11"/>
        </w:rPr>
        <w:t xml:space="preserve"> </w:t>
      </w:r>
      <w:r w:rsidRPr="0094595B">
        <w:rPr>
          <w:rFonts w:eastAsia="Times New Roman"/>
          <w:color w:val="231F20"/>
        </w:rPr>
        <w:t>pois</w:t>
      </w:r>
      <w:r w:rsidRPr="0094595B">
        <w:rPr>
          <w:rFonts w:eastAsia="Times New Roman"/>
          <w:color w:val="231F20"/>
          <w:spacing w:val="-1"/>
        </w:rPr>
        <w:t>o</w:t>
      </w:r>
      <w:r w:rsidRPr="0094595B">
        <w:rPr>
          <w:rFonts w:eastAsia="Times New Roman"/>
          <w:color w:val="231F20"/>
        </w:rPr>
        <w:t>n</w:t>
      </w:r>
      <w:r w:rsidRPr="0094595B">
        <w:rPr>
          <w:rFonts w:eastAsia="Times New Roman"/>
          <w:color w:val="231F20"/>
          <w:spacing w:val="3"/>
        </w:rPr>
        <w:t xml:space="preserve"> </w:t>
      </w:r>
      <w:r w:rsidRPr="0094595B">
        <w:rPr>
          <w:rFonts w:eastAsia="Times New Roman"/>
          <w:color w:val="231F20"/>
        </w:rPr>
        <w:t>plants, in</w:t>
      </w:r>
      <w:r w:rsidRPr="0094595B">
        <w:rPr>
          <w:rFonts w:eastAsia="Times New Roman"/>
          <w:color w:val="231F20"/>
          <w:spacing w:val="5"/>
        </w:rPr>
        <w:t>c</w:t>
      </w:r>
      <w:r w:rsidRPr="0094595B">
        <w:rPr>
          <w:rFonts w:eastAsia="Times New Roman"/>
          <w:color w:val="231F20"/>
        </w:rPr>
        <w:t>luding</w:t>
      </w:r>
      <w:r w:rsidRPr="0094595B">
        <w:rPr>
          <w:rFonts w:eastAsia="Times New Roman"/>
          <w:color w:val="231F20"/>
          <w:spacing w:val="-2"/>
        </w:rPr>
        <w:t xml:space="preserve"> </w:t>
      </w:r>
      <w:r w:rsidRPr="0094595B">
        <w:rPr>
          <w:rFonts w:eastAsia="Times New Roman"/>
          <w:color w:val="231F20"/>
          <w:spacing w:val="-1"/>
        </w:rPr>
        <w:t>p</w:t>
      </w:r>
      <w:r w:rsidRPr="0094595B">
        <w:rPr>
          <w:rFonts w:eastAsia="Times New Roman"/>
          <w:color w:val="231F20"/>
        </w:rPr>
        <w:t>hotos,</w:t>
      </w:r>
      <w:r w:rsidRPr="0094595B">
        <w:rPr>
          <w:rFonts w:eastAsia="Times New Roman"/>
          <w:color w:val="231F20"/>
          <w:spacing w:val="-8"/>
        </w:rPr>
        <w:t xml:space="preserve"> </w:t>
      </w:r>
      <w:r w:rsidRPr="0094595B">
        <w:rPr>
          <w:rFonts w:eastAsia="Times New Roman"/>
          <w:color w:val="231F20"/>
          <w:spacing w:val="2"/>
        </w:rPr>
        <w:t>c</w:t>
      </w:r>
      <w:r w:rsidRPr="0094595B">
        <w:rPr>
          <w:rFonts w:eastAsia="Times New Roman"/>
          <w:color w:val="231F20"/>
        </w:rPr>
        <w:t>an</w:t>
      </w:r>
      <w:r w:rsidRPr="0094595B">
        <w:rPr>
          <w:rFonts w:eastAsia="Times New Roman"/>
          <w:color w:val="231F20"/>
          <w:spacing w:val="-5"/>
        </w:rPr>
        <w:t xml:space="preserve"> </w:t>
      </w:r>
      <w:r w:rsidRPr="0094595B">
        <w:rPr>
          <w:rFonts w:eastAsia="Times New Roman"/>
          <w:color w:val="231F20"/>
        </w:rPr>
        <w:t>be</w:t>
      </w:r>
      <w:r w:rsidRPr="0094595B">
        <w:rPr>
          <w:rFonts w:eastAsia="Times New Roman"/>
          <w:color w:val="231F20"/>
          <w:spacing w:val="-4"/>
        </w:rPr>
        <w:t xml:space="preserve"> </w:t>
      </w:r>
      <w:r w:rsidRPr="0094595B">
        <w:rPr>
          <w:rFonts w:eastAsia="Times New Roman"/>
          <w:color w:val="231F20"/>
          <w:spacing w:val="1"/>
        </w:rPr>
        <w:t>f</w:t>
      </w:r>
      <w:r w:rsidRPr="0094595B">
        <w:rPr>
          <w:rFonts w:eastAsia="Times New Roman"/>
          <w:color w:val="231F20"/>
        </w:rPr>
        <w:t>ound</w:t>
      </w:r>
      <w:r w:rsidRPr="0094595B">
        <w:rPr>
          <w:rFonts w:eastAsia="Times New Roman"/>
          <w:color w:val="231F20"/>
          <w:spacing w:val="5"/>
        </w:rPr>
        <w:t xml:space="preserve"> </w:t>
      </w:r>
      <w:r w:rsidRPr="0094595B">
        <w:rPr>
          <w:rFonts w:eastAsia="Times New Roman"/>
          <w:color w:val="231F20"/>
        </w:rPr>
        <w:t xml:space="preserve">at: </w:t>
      </w:r>
      <w:hyperlink r:id="rId7" w:history="1">
        <w:r w:rsidRPr="0094595B">
          <w:rPr>
            <w:rStyle w:val="Hyperlink"/>
            <w:rFonts w:eastAsia="Times New Roman"/>
          </w:rPr>
          <w:t>http://poisoniv</w:t>
        </w:r>
        <w:r w:rsidRPr="0094595B">
          <w:rPr>
            <w:rStyle w:val="Hyperlink"/>
            <w:rFonts w:eastAsia="Times New Roman"/>
            <w:spacing w:val="-16"/>
          </w:rPr>
          <w:t>y</w:t>
        </w:r>
        <w:r w:rsidRPr="0094595B">
          <w:rPr>
            <w:rStyle w:val="Hyperlink"/>
            <w:rFonts w:eastAsia="Times New Roman"/>
          </w:rPr>
          <w:t>.aesi</w:t>
        </w:r>
        <w:r w:rsidRPr="0094595B">
          <w:rPr>
            <w:rStyle w:val="Hyperlink"/>
            <w:rFonts w:eastAsia="Times New Roman"/>
            <w:spacing w:val="-13"/>
          </w:rPr>
          <w:t>r</w:t>
        </w:r>
        <w:r w:rsidRPr="0094595B">
          <w:rPr>
            <w:rStyle w:val="Hyperlink"/>
            <w:rFonts w:eastAsia="Times New Roman"/>
          </w:rPr>
          <w:t>.com/</w:t>
        </w:r>
        <w:r w:rsidRPr="0094595B">
          <w:rPr>
            <w:rStyle w:val="Hyperlink"/>
            <w:rFonts w:eastAsia="Times New Roman"/>
            <w:i/>
            <w:color w:val="231F20"/>
            <w:u w:val="none"/>
          </w:rPr>
          <w:t>.</w:t>
        </w:r>
      </w:hyperlink>
    </w:p>
    <w:p w:rsidR="0094595B" w:rsidRPr="0094595B" w:rsidRDefault="0094595B" w:rsidP="000D414D">
      <w:pPr>
        <w:pStyle w:val="ListParagraph"/>
        <w:spacing w:line="242" w:lineRule="auto"/>
        <w:ind w:right="-3"/>
        <w:rPr>
          <w:rFonts w:eastAsia="Times New Roman"/>
        </w:rPr>
      </w:pPr>
    </w:p>
    <w:p w:rsidR="000D414D" w:rsidRPr="003D3B4E" w:rsidRDefault="000D414D" w:rsidP="0094595B">
      <w:pPr>
        <w:pStyle w:val="ListParagraph"/>
        <w:tabs>
          <w:tab w:val="left" w:pos="5397"/>
        </w:tabs>
        <w:spacing w:line="242" w:lineRule="auto"/>
        <w:ind w:right="-3"/>
        <w:rPr>
          <w:rStyle w:val="Hyperlink"/>
          <w:rFonts w:eastAsia="Times New Roman"/>
          <w:i/>
        </w:rPr>
      </w:pPr>
      <w:r w:rsidRPr="0094595B">
        <w:rPr>
          <w:rFonts w:eastAsia="Times New Roman"/>
          <w:b/>
          <w:bCs/>
          <w:color w:val="231F20"/>
          <w:w w:val="97"/>
        </w:rPr>
        <w:t>Hantavi</w:t>
      </w:r>
      <w:r w:rsidRPr="0094595B">
        <w:rPr>
          <w:rFonts w:eastAsia="Times New Roman"/>
          <w:b/>
          <w:bCs/>
          <w:color w:val="231F20"/>
          <w:spacing w:val="7"/>
          <w:w w:val="97"/>
        </w:rPr>
        <w:t>r</w:t>
      </w:r>
      <w:r w:rsidRPr="0094595B">
        <w:rPr>
          <w:rFonts w:eastAsia="Times New Roman"/>
          <w:b/>
          <w:bCs/>
          <w:color w:val="231F20"/>
          <w:w w:val="97"/>
        </w:rPr>
        <w:t>us:</w:t>
      </w:r>
      <w:r w:rsidRPr="0094595B">
        <w:rPr>
          <w:rFonts w:eastAsia="Times New Roman"/>
          <w:b/>
          <w:bCs/>
          <w:color w:val="231F20"/>
          <w:spacing w:val="-10"/>
          <w:w w:val="97"/>
        </w:rPr>
        <w:t xml:space="preserve"> </w:t>
      </w:r>
      <w:r w:rsidRPr="0094595B">
        <w:rPr>
          <w:rFonts w:eastAsia="Times New Roman"/>
          <w:color w:val="231F20"/>
        </w:rPr>
        <w:t>The</w:t>
      </w:r>
      <w:r w:rsidRPr="0094595B">
        <w:rPr>
          <w:rFonts w:eastAsia="Times New Roman"/>
          <w:color w:val="231F20"/>
          <w:spacing w:val="-5"/>
        </w:rPr>
        <w:t xml:space="preserve"> </w:t>
      </w:r>
      <w:r w:rsidR="0094595B" w:rsidRPr="0094595B">
        <w:rPr>
          <w:rFonts w:eastAsia="Times New Roman"/>
          <w:color w:val="231F20"/>
        </w:rPr>
        <w:t>C</w:t>
      </w:r>
      <w:r w:rsidR="0094595B" w:rsidRPr="0094595B">
        <w:rPr>
          <w:rFonts w:eastAsia="Times New Roman"/>
          <w:color w:val="231F20"/>
          <w:spacing w:val="2"/>
        </w:rPr>
        <w:t>D</w:t>
      </w:r>
      <w:r w:rsidR="0094595B" w:rsidRPr="0094595B">
        <w:rPr>
          <w:rFonts w:eastAsia="Times New Roman"/>
          <w:color w:val="231F20"/>
        </w:rPr>
        <w:t xml:space="preserve">C </w:t>
      </w:r>
      <w:r w:rsidR="0094595B" w:rsidRPr="0094595B">
        <w:rPr>
          <w:rFonts w:eastAsia="Times New Roman"/>
          <w:color w:val="231F20"/>
          <w:spacing w:val="4"/>
        </w:rPr>
        <w:t>has</w:t>
      </w:r>
      <w:r w:rsidRPr="0094595B">
        <w:rPr>
          <w:rFonts w:eastAsia="Times New Roman"/>
          <w:color w:val="231F20"/>
          <w:spacing w:val="3"/>
        </w:rPr>
        <w:t xml:space="preserve"> </w:t>
      </w:r>
      <w:r w:rsidRPr="0094595B">
        <w:rPr>
          <w:rFonts w:eastAsia="Times New Roman"/>
          <w:color w:val="231F20"/>
        </w:rPr>
        <w:t>detailed</w:t>
      </w:r>
      <w:r w:rsidRPr="0094595B">
        <w:rPr>
          <w:rFonts w:eastAsia="Times New Roman"/>
          <w:color w:val="231F20"/>
          <w:spacing w:val="-2"/>
        </w:rPr>
        <w:t xml:space="preserve"> </w:t>
      </w:r>
      <w:r w:rsidRPr="0094595B">
        <w:rPr>
          <w:rFonts w:eastAsia="Times New Roman"/>
          <w:color w:val="231F20"/>
        </w:rPr>
        <w:t>in</w:t>
      </w:r>
      <w:r w:rsidRPr="0094595B">
        <w:rPr>
          <w:rFonts w:eastAsia="Times New Roman"/>
          <w:color w:val="231F20"/>
          <w:spacing w:val="1"/>
        </w:rPr>
        <w:t>f</w:t>
      </w:r>
      <w:r w:rsidRPr="0094595B">
        <w:rPr>
          <w:rFonts w:eastAsia="Times New Roman"/>
          <w:color w:val="231F20"/>
        </w:rPr>
        <w:t>o</w:t>
      </w:r>
      <w:r w:rsidRPr="0094595B">
        <w:rPr>
          <w:rFonts w:eastAsia="Times New Roman"/>
          <w:color w:val="231F20"/>
          <w:spacing w:val="1"/>
        </w:rPr>
        <w:t>r</w:t>
      </w:r>
      <w:r w:rsidRPr="0094595B">
        <w:rPr>
          <w:rFonts w:eastAsia="Times New Roman"/>
          <w:color w:val="231F20"/>
        </w:rPr>
        <w:t>mati</w:t>
      </w:r>
      <w:r w:rsidRPr="0094595B">
        <w:rPr>
          <w:rFonts w:eastAsia="Times New Roman"/>
          <w:color w:val="231F20"/>
          <w:spacing w:val="-1"/>
        </w:rPr>
        <w:t>o</w:t>
      </w:r>
      <w:r w:rsidRPr="0094595B">
        <w:rPr>
          <w:rFonts w:eastAsia="Times New Roman"/>
          <w:color w:val="231F20"/>
        </w:rPr>
        <w:t>n</w:t>
      </w:r>
      <w:r w:rsidRPr="0094595B">
        <w:rPr>
          <w:rFonts w:eastAsia="Times New Roman"/>
          <w:color w:val="231F20"/>
          <w:spacing w:val="16"/>
        </w:rPr>
        <w:t xml:space="preserve"> </w:t>
      </w:r>
      <w:r w:rsidRPr="0094595B">
        <w:rPr>
          <w:rFonts w:eastAsia="Times New Roman"/>
          <w:color w:val="231F20"/>
          <w:w w:val="101"/>
        </w:rPr>
        <w:t xml:space="preserve">about </w:t>
      </w:r>
      <w:r w:rsidR="0094595B" w:rsidRPr="0094595B">
        <w:rPr>
          <w:rFonts w:eastAsia="Times New Roman"/>
          <w:color w:val="231F20"/>
        </w:rPr>
        <w:t>Hantavirus</w:t>
      </w:r>
      <w:r w:rsidR="0094595B">
        <w:rPr>
          <w:rFonts w:eastAsia="Times New Roman"/>
          <w:color w:val="231F20"/>
        </w:rPr>
        <w:t xml:space="preserve"> </w:t>
      </w:r>
      <w:r w:rsidR="0094595B" w:rsidRPr="0094595B">
        <w:rPr>
          <w:rFonts w:eastAsia="Times New Roman"/>
          <w:color w:val="231F20"/>
        </w:rPr>
        <w:t xml:space="preserve">available </w:t>
      </w:r>
      <w:r w:rsidR="0094595B" w:rsidRPr="0094595B">
        <w:rPr>
          <w:rFonts w:eastAsia="Times New Roman"/>
          <w:color w:val="231F20"/>
          <w:spacing w:val="29"/>
        </w:rPr>
        <w:t>at</w:t>
      </w:r>
      <w:r w:rsidR="003D3B4E" w:rsidRPr="003D3B4E">
        <w:t xml:space="preserve"> </w:t>
      </w:r>
      <w:r w:rsidR="003D3B4E">
        <w:rPr>
          <w:rFonts w:eastAsia="Times New Roman"/>
          <w:color w:val="231F20"/>
          <w:spacing w:val="29"/>
        </w:rPr>
        <w:fldChar w:fldCharType="begin"/>
      </w:r>
      <w:r w:rsidR="003D3B4E">
        <w:rPr>
          <w:rFonts w:eastAsia="Times New Roman"/>
          <w:color w:val="231F20"/>
          <w:spacing w:val="29"/>
        </w:rPr>
        <w:instrText xml:space="preserve"> HYPERLINK "https://www.cdc.gov/hantavirus/" </w:instrText>
      </w:r>
      <w:r w:rsidR="003D3B4E">
        <w:rPr>
          <w:rFonts w:eastAsia="Times New Roman"/>
          <w:color w:val="231F20"/>
          <w:spacing w:val="29"/>
        </w:rPr>
        <w:fldChar w:fldCharType="separate"/>
      </w:r>
      <w:r w:rsidR="003D3B4E" w:rsidRPr="003D3B4E">
        <w:rPr>
          <w:rStyle w:val="Hyperlink"/>
          <w:rFonts w:eastAsia="Times New Roman"/>
          <w:spacing w:val="29"/>
        </w:rPr>
        <w:t>https://www.cdc.gov/hantavirus/</w:t>
      </w:r>
    </w:p>
    <w:p w:rsidR="0094595B" w:rsidRPr="0094595B" w:rsidRDefault="003D3B4E" w:rsidP="0094595B">
      <w:pPr>
        <w:pStyle w:val="ListParagraph"/>
        <w:tabs>
          <w:tab w:val="left" w:pos="5397"/>
        </w:tabs>
        <w:spacing w:line="242" w:lineRule="auto"/>
        <w:ind w:right="-3"/>
        <w:rPr>
          <w:rFonts w:eastAsia="Times New Roman"/>
        </w:rPr>
      </w:pPr>
      <w:r>
        <w:rPr>
          <w:rFonts w:eastAsia="Times New Roman"/>
          <w:color w:val="231F20"/>
          <w:spacing w:val="29"/>
        </w:rPr>
        <w:fldChar w:fldCharType="end"/>
      </w:r>
    </w:p>
    <w:p w:rsidR="000D414D" w:rsidRDefault="000D414D" w:rsidP="0094595B">
      <w:pPr>
        <w:pStyle w:val="ListParagraph"/>
        <w:spacing w:line="242" w:lineRule="auto"/>
        <w:ind w:right="-3"/>
        <w:rPr>
          <w:rFonts w:eastAsia="Times New Roman"/>
          <w:i/>
          <w:color w:val="231F20"/>
        </w:rPr>
      </w:pPr>
      <w:r w:rsidRPr="0094595B">
        <w:rPr>
          <w:rFonts w:eastAsia="Times New Roman"/>
          <w:b/>
          <w:bCs/>
          <w:color w:val="231F20"/>
          <w:spacing w:val="-5"/>
          <w:w w:val="96"/>
        </w:rPr>
        <w:t>L</w:t>
      </w:r>
      <w:r w:rsidRPr="0094595B">
        <w:rPr>
          <w:rFonts w:eastAsia="Times New Roman"/>
          <w:b/>
          <w:bCs/>
          <w:color w:val="231F20"/>
          <w:spacing w:val="2"/>
          <w:w w:val="96"/>
        </w:rPr>
        <w:t>y</w:t>
      </w:r>
      <w:r w:rsidRPr="0094595B">
        <w:rPr>
          <w:rFonts w:eastAsia="Times New Roman"/>
          <w:b/>
          <w:bCs/>
          <w:color w:val="231F20"/>
          <w:w w:val="96"/>
        </w:rPr>
        <w:t>me</w:t>
      </w:r>
      <w:r w:rsidRPr="0094595B">
        <w:rPr>
          <w:rFonts w:eastAsia="Times New Roman"/>
          <w:b/>
          <w:bCs/>
          <w:color w:val="231F20"/>
          <w:spacing w:val="-5"/>
          <w:w w:val="96"/>
        </w:rPr>
        <w:t xml:space="preserve"> </w:t>
      </w:r>
      <w:r w:rsidRPr="0094595B">
        <w:rPr>
          <w:rFonts w:eastAsia="Times New Roman"/>
          <w:b/>
          <w:bCs/>
          <w:color w:val="231F20"/>
        </w:rPr>
        <w:t>Disease:</w:t>
      </w:r>
      <w:r w:rsidRPr="0094595B">
        <w:rPr>
          <w:rFonts w:eastAsia="Times New Roman"/>
          <w:b/>
          <w:bCs/>
          <w:color w:val="231F20"/>
          <w:spacing w:val="-11"/>
        </w:rPr>
        <w:t xml:space="preserve"> </w:t>
      </w:r>
      <w:r w:rsidRPr="0094595B">
        <w:rPr>
          <w:rFonts w:eastAsia="Times New Roman"/>
          <w:color w:val="231F20"/>
        </w:rPr>
        <w:t>The</w:t>
      </w:r>
      <w:r w:rsidRPr="0094595B">
        <w:rPr>
          <w:rFonts w:eastAsia="Times New Roman"/>
          <w:color w:val="231F20"/>
          <w:spacing w:val="-10"/>
        </w:rPr>
        <w:t xml:space="preserve"> </w:t>
      </w:r>
      <w:r w:rsidRPr="0094595B">
        <w:rPr>
          <w:rFonts w:eastAsia="Times New Roman"/>
          <w:color w:val="231F20"/>
          <w:spacing w:val="-1"/>
        </w:rPr>
        <w:t>A</w:t>
      </w:r>
      <w:r w:rsidRPr="0094595B">
        <w:rPr>
          <w:rFonts w:eastAsia="Times New Roman"/>
          <w:color w:val="231F20"/>
        </w:rPr>
        <w:t>me</w:t>
      </w:r>
      <w:r w:rsidRPr="0094595B">
        <w:rPr>
          <w:rFonts w:eastAsia="Times New Roman"/>
          <w:color w:val="231F20"/>
          <w:spacing w:val="2"/>
        </w:rPr>
        <w:t>r</w:t>
      </w:r>
      <w:r w:rsidRPr="0094595B">
        <w:rPr>
          <w:rFonts w:eastAsia="Times New Roman"/>
          <w:color w:val="231F20"/>
        </w:rPr>
        <w:t>i</w:t>
      </w:r>
      <w:r w:rsidRPr="0094595B">
        <w:rPr>
          <w:rFonts w:eastAsia="Times New Roman"/>
          <w:color w:val="231F20"/>
          <w:spacing w:val="2"/>
        </w:rPr>
        <w:t>c</w:t>
      </w:r>
      <w:r w:rsidRPr="0094595B">
        <w:rPr>
          <w:rFonts w:eastAsia="Times New Roman"/>
          <w:color w:val="231F20"/>
        </w:rPr>
        <w:t>an</w:t>
      </w:r>
      <w:r w:rsidRPr="0094595B">
        <w:rPr>
          <w:rFonts w:eastAsia="Times New Roman"/>
          <w:color w:val="231F20"/>
          <w:spacing w:val="-2"/>
        </w:rPr>
        <w:t xml:space="preserve"> </w:t>
      </w:r>
      <w:r w:rsidRPr="0094595B">
        <w:rPr>
          <w:rFonts w:eastAsia="Times New Roman"/>
          <w:color w:val="231F20"/>
          <w:spacing w:val="-5"/>
        </w:rPr>
        <w:t>L</w:t>
      </w:r>
      <w:r w:rsidRPr="0094595B">
        <w:rPr>
          <w:rFonts w:eastAsia="Times New Roman"/>
          <w:color w:val="231F20"/>
          <w:spacing w:val="2"/>
        </w:rPr>
        <w:t>y</w:t>
      </w:r>
      <w:r w:rsidRPr="0094595B">
        <w:rPr>
          <w:rFonts w:eastAsia="Times New Roman"/>
          <w:color w:val="231F20"/>
        </w:rPr>
        <w:t>me</w:t>
      </w:r>
      <w:r w:rsidRPr="0094595B">
        <w:rPr>
          <w:rFonts w:eastAsia="Times New Roman"/>
          <w:color w:val="231F20"/>
          <w:spacing w:val="-3"/>
        </w:rPr>
        <w:t xml:space="preserve"> </w:t>
      </w:r>
      <w:r w:rsidRPr="0094595B">
        <w:rPr>
          <w:rFonts w:eastAsia="Times New Roman"/>
          <w:color w:val="231F20"/>
        </w:rPr>
        <w:t xml:space="preserve">Disease </w:t>
      </w:r>
      <w:r w:rsidRPr="0094595B">
        <w:rPr>
          <w:rFonts w:eastAsia="Times New Roman"/>
          <w:color w:val="231F20"/>
          <w:spacing w:val="-10"/>
        </w:rPr>
        <w:t>F</w:t>
      </w:r>
      <w:r w:rsidRPr="0094595B">
        <w:rPr>
          <w:rFonts w:eastAsia="Times New Roman"/>
          <w:color w:val="231F20"/>
        </w:rPr>
        <w:t>oundati</w:t>
      </w:r>
      <w:r w:rsidRPr="0094595B">
        <w:rPr>
          <w:rFonts w:eastAsia="Times New Roman"/>
          <w:color w:val="231F20"/>
          <w:spacing w:val="-1"/>
        </w:rPr>
        <w:t>o</w:t>
      </w:r>
      <w:r w:rsidRPr="0094595B">
        <w:rPr>
          <w:rFonts w:eastAsia="Times New Roman"/>
          <w:color w:val="231F20"/>
        </w:rPr>
        <w:t>n</w:t>
      </w:r>
      <w:r w:rsidRPr="0094595B">
        <w:rPr>
          <w:rFonts w:eastAsia="Times New Roman"/>
          <w:color w:val="231F20"/>
          <w:spacing w:val="26"/>
        </w:rPr>
        <w:t xml:space="preserve"> </w:t>
      </w:r>
      <w:r w:rsidRPr="0094595B">
        <w:rPr>
          <w:rFonts w:eastAsia="Times New Roman"/>
          <w:color w:val="231F20"/>
          <w:w w:val="96"/>
        </w:rPr>
        <w:t>p</w:t>
      </w:r>
      <w:r w:rsidRPr="0094595B">
        <w:rPr>
          <w:rFonts w:eastAsia="Times New Roman"/>
          <w:color w:val="231F20"/>
          <w:spacing w:val="-2"/>
          <w:w w:val="96"/>
        </w:rPr>
        <w:t>r</w:t>
      </w:r>
      <w:r w:rsidRPr="0094595B">
        <w:rPr>
          <w:rFonts w:eastAsia="Times New Roman"/>
          <w:color w:val="231F20"/>
          <w:spacing w:val="1"/>
          <w:w w:val="96"/>
        </w:rPr>
        <w:t>o</w:t>
      </w:r>
      <w:r w:rsidRPr="0094595B">
        <w:rPr>
          <w:rFonts w:eastAsia="Times New Roman"/>
          <w:color w:val="231F20"/>
          <w:w w:val="96"/>
        </w:rPr>
        <w:t>vides</w:t>
      </w:r>
      <w:r w:rsidRPr="0094595B">
        <w:rPr>
          <w:rFonts w:eastAsia="Times New Roman"/>
          <w:color w:val="231F20"/>
          <w:spacing w:val="9"/>
          <w:w w:val="96"/>
        </w:rPr>
        <w:t xml:space="preserve"> </w:t>
      </w:r>
      <w:r w:rsidRPr="0094595B">
        <w:rPr>
          <w:rFonts w:eastAsia="Times New Roman"/>
          <w:color w:val="231F20"/>
        </w:rPr>
        <w:t>in</w:t>
      </w:r>
      <w:r w:rsidRPr="0094595B">
        <w:rPr>
          <w:rFonts w:eastAsia="Times New Roman"/>
          <w:color w:val="231F20"/>
          <w:spacing w:val="1"/>
        </w:rPr>
        <w:t>f</w:t>
      </w:r>
      <w:r w:rsidRPr="0094595B">
        <w:rPr>
          <w:rFonts w:eastAsia="Times New Roman"/>
          <w:color w:val="231F20"/>
        </w:rPr>
        <w:t>o</w:t>
      </w:r>
      <w:r w:rsidRPr="0094595B">
        <w:rPr>
          <w:rFonts w:eastAsia="Times New Roman"/>
          <w:color w:val="231F20"/>
          <w:spacing w:val="1"/>
        </w:rPr>
        <w:t>r</w:t>
      </w:r>
      <w:r w:rsidRPr="0094595B">
        <w:rPr>
          <w:rFonts w:eastAsia="Times New Roman"/>
          <w:color w:val="231F20"/>
        </w:rPr>
        <w:t>mati</w:t>
      </w:r>
      <w:r w:rsidRPr="0094595B">
        <w:rPr>
          <w:rFonts w:eastAsia="Times New Roman"/>
          <w:color w:val="231F20"/>
          <w:spacing w:val="-1"/>
        </w:rPr>
        <w:t>o</w:t>
      </w:r>
      <w:r w:rsidRPr="0094595B">
        <w:rPr>
          <w:rFonts w:eastAsia="Times New Roman"/>
          <w:color w:val="231F20"/>
        </w:rPr>
        <w:t>n</w:t>
      </w:r>
      <w:r w:rsidRPr="0094595B">
        <w:rPr>
          <w:rFonts w:eastAsia="Times New Roman"/>
          <w:color w:val="231F20"/>
          <w:spacing w:val="11"/>
        </w:rPr>
        <w:t xml:space="preserve"> </w:t>
      </w:r>
      <w:r w:rsidRPr="0094595B">
        <w:rPr>
          <w:rFonts w:eastAsia="Times New Roman"/>
          <w:color w:val="231F20"/>
        </w:rPr>
        <w:t>about</w:t>
      </w:r>
      <w:r w:rsidRPr="0094595B">
        <w:rPr>
          <w:rFonts w:eastAsia="Times New Roman"/>
          <w:color w:val="231F20"/>
          <w:spacing w:val="6"/>
        </w:rPr>
        <w:t xml:space="preserve"> </w:t>
      </w:r>
      <w:r w:rsidRPr="0094595B">
        <w:rPr>
          <w:rFonts w:eastAsia="Times New Roman"/>
          <w:color w:val="231F20"/>
        </w:rPr>
        <w:t>the</w:t>
      </w:r>
      <w:r w:rsidRPr="0094595B">
        <w:rPr>
          <w:rFonts w:eastAsia="Times New Roman"/>
          <w:color w:val="231F20"/>
          <w:spacing w:val="16"/>
        </w:rPr>
        <w:t xml:space="preserve"> </w:t>
      </w:r>
      <w:r w:rsidRPr="0094595B">
        <w:rPr>
          <w:rFonts w:eastAsia="Times New Roman"/>
          <w:color w:val="231F20"/>
          <w:w w:val="96"/>
        </w:rPr>
        <w:t>disease</w:t>
      </w:r>
      <w:r w:rsidRPr="0094595B">
        <w:rPr>
          <w:rFonts w:eastAsia="Times New Roman"/>
          <w:color w:val="231F20"/>
          <w:spacing w:val="3"/>
          <w:w w:val="96"/>
        </w:rPr>
        <w:t xml:space="preserve"> </w:t>
      </w:r>
      <w:r w:rsidRPr="0094595B">
        <w:rPr>
          <w:rFonts w:eastAsia="Times New Roman"/>
          <w:color w:val="231F20"/>
          <w:w w:val="103"/>
        </w:rPr>
        <w:t xml:space="preserve">at </w:t>
      </w:r>
      <w:hyperlink r:id="rId8" w:history="1">
        <w:r w:rsidRPr="0094595B">
          <w:rPr>
            <w:rStyle w:val="Hyperlink"/>
            <w:rFonts w:eastAsia="Times New Roman"/>
          </w:rPr>
          <w:t>http://ww</w:t>
        </w:r>
        <w:r w:rsidRPr="0094595B">
          <w:rPr>
            <w:rStyle w:val="Hyperlink"/>
            <w:rFonts w:eastAsia="Times New Roman"/>
            <w:spacing w:val="-16"/>
          </w:rPr>
          <w:t>w</w:t>
        </w:r>
        <w:r w:rsidRPr="0094595B">
          <w:rPr>
            <w:rStyle w:val="Hyperlink"/>
            <w:rFonts w:eastAsia="Times New Roman"/>
          </w:rPr>
          <w:t>.aldf.com./</w:t>
        </w:r>
      </w:hyperlink>
      <w:r w:rsidRPr="0094595B">
        <w:rPr>
          <w:rFonts w:eastAsia="Times New Roman"/>
          <w:i/>
          <w:color w:val="231F20"/>
        </w:rPr>
        <w:t>.</w:t>
      </w:r>
    </w:p>
    <w:p w:rsidR="003D3B4E" w:rsidRDefault="003D3B4E" w:rsidP="0094595B">
      <w:pPr>
        <w:pStyle w:val="ListParagraph"/>
        <w:spacing w:line="242" w:lineRule="auto"/>
        <w:ind w:right="-3"/>
        <w:rPr>
          <w:rFonts w:eastAsia="Times New Roman"/>
        </w:rPr>
      </w:pPr>
    </w:p>
    <w:p w:rsidR="003D3B4E" w:rsidRPr="0094595B" w:rsidRDefault="003D3B4E" w:rsidP="0094595B">
      <w:pPr>
        <w:pStyle w:val="ListParagraph"/>
        <w:spacing w:line="242" w:lineRule="auto"/>
        <w:ind w:right="-3"/>
        <w:rPr>
          <w:rFonts w:eastAsia="Times New Roman"/>
        </w:rPr>
      </w:pPr>
      <w:r>
        <w:rPr>
          <w:rFonts w:eastAsia="Times New Roman"/>
        </w:rPr>
        <w:t>Rev:32019</w:t>
      </w:r>
    </w:p>
    <w:sectPr w:rsidR="003D3B4E" w:rsidRPr="0094595B" w:rsidSect="000C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F99"/>
    <w:multiLevelType w:val="hybridMultilevel"/>
    <w:tmpl w:val="C500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6C"/>
    <w:rsid w:val="000C701E"/>
    <w:rsid w:val="000D414D"/>
    <w:rsid w:val="000E1E4B"/>
    <w:rsid w:val="001420D3"/>
    <w:rsid w:val="001A6436"/>
    <w:rsid w:val="001C7524"/>
    <w:rsid w:val="00280713"/>
    <w:rsid w:val="002A4623"/>
    <w:rsid w:val="002D1334"/>
    <w:rsid w:val="00374193"/>
    <w:rsid w:val="003D3B4E"/>
    <w:rsid w:val="00420B21"/>
    <w:rsid w:val="004B366D"/>
    <w:rsid w:val="00514954"/>
    <w:rsid w:val="00537A3B"/>
    <w:rsid w:val="005860D1"/>
    <w:rsid w:val="006D161C"/>
    <w:rsid w:val="006D29CF"/>
    <w:rsid w:val="0078388A"/>
    <w:rsid w:val="007D325F"/>
    <w:rsid w:val="00910517"/>
    <w:rsid w:val="0094595B"/>
    <w:rsid w:val="009C466C"/>
    <w:rsid w:val="009D164C"/>
    <w:rsid w:val="00AB073A"/>
    <w:rsid w:val="00B55E72"/>
    <w:rsid w:val="00C42CEF"/>
    <w:rsid w:val="00C902F4"/>
    <w:rsid w:val="00CB5957"/>
    <w:rsid w:val="00D5691D"/>
    <w:rsid w:val="00F14A24"/>
    <w:rsid w:val="00F61000"/>
    <w:rsid w:val="00FB340A"/>
    <w:rsid w:val="00FB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42C6"/>
  <w15:docId w15:val="{B814DA3A-C691-43EB-902D-E6804F7C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61C"/>
    <w:rPr>
      <w:color w:val="0000FF" w:themeColor="hyperlink"/>
      <w:u w:val="single"/>
    </w:rPr>
  </w:style>
  <w:style w:type="paragraph" w:styleId="ListParagraph">
    <w:name w:val="List Paragraph"/>
    <w:basedOn w:val="Normal"/>
    <w:uiPriority w:val="34"/>
    <w:qFormat/>
    <w:rsid w:val="000D414D"/>
    <w:pPr>
      <w:ind w:left="720"/>
      <w:contextualSpacing/>
    </w:pPr>
  </w:style>
  <w:style w:type="paragraph" w:styleId="BalloonText">
    <w:name w:val="Balloon Text"/>
    <w:basedOn w:val="Normal"/>
    <w:link w:val="BalloonTextChar"/>
    <w:uiPriority w:val="99"/>
    <w:semiHidden/>
    <w:unhideWhenUsed/>
    <w:rsid w:val="00B55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72"/>
    <w:rPr>
      <w:rFonts w:ascii="Segoe UI" w:hAnsi="Segoe UI" w:cs="Segoe UI"/>
      <w:sz w:val="18"/>
      <w:szCs w:val="18"/>
    </w:rPr>
  </w:style>
  <w:style w:type="character" w:styleId="FollowedHyperlink">
    <w:name w:val="FollowedHyperlink"/>
    <w:basedOn w:val="DefaultParagraphFont"/>
    <w:uiPriority w:val="99"/>
    <w:semiHidden/>
    <w:unhideWhenUsed/>
    <w:rsid w:val="003D3B4E"/>
    <w:rPr>
      <w:color w:val="800080" w:themeColor="followedHyperlink"/>
      <w:u w:val="single"/>
    </w:rPr>
  </w:style>
  <w:style w:type="character" w:styleId="UnresolvedMention">
    <w:name w:val="Unresolved Mention"/>
    <w:basedOn w:val="DefaultParagraphFont"/>
    <w:uiPriority w:val="99"/>
    <w:semiHidden/>
    <w:unhideWhenUsed/>
    <w:rsid w:val="003D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426">
      <w:bodyDiv w:val="1"/>
      <w:marLeft w:val="0"/>
      <w:marRight w:val="0"/>
      <w:marTop w:val="0"/>
      <w:marBottom w:val="0"/>
      <w:divBdr>
        <w:top w:val="none" w:sz="0" w:space="0" w:color="auto"/>
        <w:left w:val="none" w:sz="0" w:space="0" w:color="auto"/>
        <w:bottom w:val="none" w:sz="0" w:space="0" w:color="auto"/>
        <w:right w:val="none" w:sz="0" w:space="0" w:color="auto"/>
      </w:divBdr>
    </w:div>
    <w:div w:id="13810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df.com/" TargetMode="External"/><Relationship Id="rId3" Type="http://schemas.openxmlformats.org/officeDocument/2006/relationships/settings" Target="settings.xml"/><Relationship Id="rId7" Type="http://schemas.openxmlformats.org/officeDocument/2006/relationships/hyperlink" Target="http://poisonivy.aes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safety-health/forms/" TargetMode="External"/><Relationship Id="rId5" Type="http://schemas.openxmlformats.org/officeDocument/2006/relationships/hyperlink" Target="https://uwm.edu/safety-health/for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Reinartz</dc:creator>
  <cp:lastModifiedBy>Berri Forman</cp:lastModifiedBy>
  <cp:revision>5</cp:revision>
  <cp:lastPrinted>2019-03-15T18:24:00Z</cp:lastPrinted>
  <dcterms:created xsi:type="dcterms:W3CDTF">2019-02-27T16:33:00Z</dcterms:created>
  <dcterms:modified xsi:type="dcterms:W3CDTF">2019-03-15T18:24:00Z</dcterms:modified>
</cp:coreProperties>
</file>