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1A537" w14:textId="77777777" w:rsidR="006D2E71" w:rsidRDefault="006D2E71" w:rsidP="006D2E71">
      <w:pPr>
        <w:ind w:left="-720"/>
        <w:jc w:val="center"/>
        <w:rPr>
          <w:rFonts w:ascii="Times New Roman" w:eastAsia="Calibri" w:hAnsi="Times New Roman" w:cs="Times New Roman"/>
          <w:sz w:val="32"/>
        </w:rPr>
      </w:pPr>
      <w:r>
        <w:rPr>
          <w:rFonts w:ascii="Times New Roman" w:eastAsia="Calibri" w:hAnsi="Times New Roman" w:cs="Times New Roman"/>
          <w:noProof/>
          <w:sz w:val="32"/>
        </w:rPr>
        <mc:AlternateContent>
          <mc:Choice Requires="wps">
            <w:drawing>
              <wp:anchor distT="0" distB="0" distL="114300" distR="114300" simplePos="0" relativeHeight="251659264" behindDoc="0" locked="0" layoutInCell="1" allowOverlap="1" wp14:anchorId="6403E489" wp14:editId="498A090C">
                <wp:simplePos x="0" y="0"/>
                <wp:positionH relativeFrom="column">
                  <wp:posOffset>3230880</wp:posOffset>
                </wp:positionH>
                <wp:positionV relativeFrom="paragraph">
                  <wp:posOffset>129540</wp:posOffset>
                </wp:positionV>
                <wp:extent cx="1569720" cy="10439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569720" cy="1043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5E792" w14:textId="77777777" w:rsidR="006D2E71" w:rsidRPr="006D2E71" w:rsidRDefault="006D2E71"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eastAsia="Times New Roman" w:hAnsi="Garamond" w:cs="Times New Roman"/>
                                <w:sz w:val="18"/>
                                <w:szCs w:val="20"/>
                              </w:rPr>
                            </w:pPr>
                            <w:r w:rsidRPr="006D2E71">
                              <w:rPr>
                                <w:rFonts w:ascii="Garamond" w:eastAsia="Times New Roman" w:hAnsi="Garamond" w:cs="Times New Roman"/>
                                <w:sz w:val="18"/>
                                <w:szCs w:val="20"/>
                              </w:rPr>
                              <w:t>270 Engelmann Hall</w:t>
                            </w:r>
                          </w:p>
                          <w:p w14:paraId="76C1B28A" w14:textId="77777777" w:rsidR="006D2E71" w:rsidRPr="006D2E71" w:rsidRDefault="006D2E71"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eastAsia="Times New Roman" w:hAnsi="Garamond" w:cs="Times New Roman"/>
                                <w:sz w:val="18"/>
                                <w:szCs w:val="20"/>
                              </w:rPr>
                            </w:pPr>
                            <w:smartTag w:uri="urn:schemas-microsoft-com:office:smarttags" w:element="address">
                              <w:smartTag w:uri="urn:schemas-microsoft-com:office:smarttags" w:element="Street">
                                <w:r w:rsidRPr="006D2E71">
                                  <w:rPr>
                                    <w:rFonts w:ascii="Garamond" w:eastAsia="Times New Roman" w:hAnsi="Garamond" w:cs="Times New Roman"/>
                                    <w:sz w:val="18"/>
                                    <w:szCs w:val="20"/>
                                  </w:rPr>
                                  <w:t>P. O. Box</w:t>
                                </w:r>
                              </w:smartTag>
                              <w:r w:rsidRPr="006D2E71">
                                <w:rPr>
                                  <w:rFonts w:ascii="Garamond" w:eastAsia="Times New Roman" w:hAnsi="Garamond" w:cs="Times New Roman"/>
                                  <w:sz w:val="18"/>
                                  <w:szCs w:val="20"/>
                                </w:rPr>
                                <w:t xml:space="preserve"> 413</w:t>
                              </w:r>
                            </w:smartTag>
                          </w:p>
                          <w:p w14:paraId="7FEB448D" w14:textId="77777777" w:rsidR="006D2E71" w:rsidRPr="006D2E71" w:rsidRDefault="006D2E71"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eastAsia="Times New Roman" w:hAnsi="Garamond" w:cs="Times New Roman"/>
                                <w:sz w:val="18"/>
                                <w:szCs w:val="20"/>
                              </w:rPr>
                            </w:pPr>
                            <w:smartTag w:uri="urn:schemas-microsoft-com:office:smarttags" w:element="place">
                              <w:smartTag w:uri="urn:schemas-microsoft-com:office:smarttags" w:element="City">
                                <w:r w:rsidRPr="006D2E71">
                                  <w:rPr>
                                    <w:rFonts w:ascii="Garamond" w:eastAsia="Times New Roman" w:hAnsi="Garamond" w:cs="Times New Roman"/>
                                    <w:sz w:val="18"/>
                                    <w:szCs w:val="20"/>
                                  </w:rPr>
                                  <w:t>Milwaukee</w:t>
                                </w:r>
                              </w:smartTag>
                              <w:r w:rsidRPr="006D2E71">
                                <w:rPr>
                                  <w:rFonts w:ascii="Garamond" w:eastAsia="Times New Roman" w:hAnsi="Garamond" w:cs="Times New Roman"/>
                                  <w:sz w:val="18"/>
                                  <w:szCs w:val="20"/>
                                </w:rPr>
                                <w:t xml:space="preserve">, </w:t>
                              </w:r>
                              <w:smartTag w:uri="urn:schemas-microsoft-com:office:smarttags" w:element="State">
                                <w:r w:rsidRPr="006D2E71">
                                  <w:rPr>
                                    <w:rFonts w:ascii="Garamond" w:eastAsia="Times New Roman" w:hAnsi="Garamond" w:cs="Times New Roman"/>
                                    <w:sz w:val="18"/>
                                    <w:szCs w:val="20"/>
                                  </w:rPr>
                                  <w:t>WI</w:t>
                                </w:r>
                              </w:smartTag>
                            </w:smartTag>
                          </w:p>
                          <w:p w14:paraId="7FB1CF21" w14:textId="77777777" w:rsidR="006D2E71" w:rsidRPr="006D2E71" w:rsidRDefault="006D2E71"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eastAsia="Times New Roman" w:hAnsi="Garamond" w:cs="Times New Roman"/>
                                <w:sz w:val="18"/>
                                <w:szCs w:val="20"/>
                              </w:rPr>
                            </w:pPr>
                            <w:r w:rsidRPr="006D2E71">
                              <w:rPr>
                                <w:rFonts w:ascii="Garamond" w:eastAsia="Times New Roman" w:hAnsi="Garamond" w:cs="Times New Roman"/>
                                <w:sz w:val="18"/>
                                <w:szCs w:val="20"/>
                              </w:rPr>
                              <w:t>53201-0413</w:t>
                            </w:r>
                          </w:p>
                          <w:p w14:paraId="63641335" w14:textId="77777777" w:rsidR="006D2E71" w:rsidRPr="006D2E71" w:rsidRDefault="006D2E71"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eastAsia="Times New Roman" w:hAnsi="Garamond" w:cs="Times New Roman"/>
                                <w:sz w:val="18"/>
                                <w:szCs w:val="20"/>
                              </w:rPr>
                            </w:pPr>
                            <w:r w:rsidRPr="006D2E71">
                              <w:rPr>
                                <w:rFonts w:ascii="Garamond" w:eastAsia="Times New Roman" w:hAnsi="Garamond" w:cs="Times New Roman"/>
                                <w:sz w:val="18"/>
                                <w:szCs w:val="20"/>
                              </w:rPr>
                              <w:t>(414) 229-6339</w:t>
                            </w:r>
                            <w:r w:rsidR="00E873D2">
                              <w:rPr>
                                <w:rFonts w:ascii="Garamond" w:eastAsia="Times New Roman" w:hAnsi="Garamond" w:cs="Times New Roman"/>
                                <w:sz w:val="18"/>
                                <w:szCs w:val="20"/>
                              </w:rPr>
                              <w:t xml:space="preserve"> </w:t>
                            </w:r>
                            <w:r w:rsidR="00E873D2" w:rsidRPr="00E873D2">
                              <w:rPr>
                                <w:rFonts w:ascii="Garamond" w:eastAsia="Times New Roman" w:hAnsi="Garamond" w:cs="Times New Roman"/>
                                <w:i/>
                                <w:sz w:val="18"/>
                                <w:szCs w:val="20"/>
                              </w:rPr>
                              <w:t>ph</w:t>
                            </w:r>
                            <w:r w:rsidRPr="006D2E71">
                              <w:rPr>
                                <w:rFonts w:ascii="Garamond" w:eastAsia="Times New Roman" w:hAnsi="Garamond" w:cs="Times New Roman"/>
                                <w:i/>
                                <w:sz w:val="18"/>
                                <w:szCs w:val="20"/>
                              </w:rPr>
                              <w:t>one</w:t>
                            </w:r>
                          </w:p>
                          <w:p w14:paraId="1141B997" w14:textId="77777777" w:rsidR="006D2E71" w:rsidRPr="006D2E71" w:rsidRDefault="006D2E71"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eastAsia="Times New Roman" w:hAnsi="Garamond" w:cs="Times New Roman"/>
                                <w:i/>
                                <w:sz w:val="18"/>
                                <w:szCs w:val="20"/>
                              </w:rPr>
                            </w:pPr>
                            <w:r w:rsidRPr="006D2E71">
                              <w:rPr>
                                <w:rFonts w:ascii="Garamond" w:eastAsia="Times New Roman" w:hAnsi="Garamond" w:cs="Times New Roman"/>
                                <w:sz w:val="18"/>
                                <w:szCs w:val="20"/>
                              </w:rPr>
                              <w:t xml:space="preserve">(414) 229-6729 </w:t>
                            </w:r>
                            <w:r w:rsidRPr="006D2E71">
                              <w:rPr>
                                <w:rFonts w:ascii="Garamond" w:eastAsia="Times New Roman" w:hAnsi="Garamond" w:cs="Times New Roman"/>
                                <w:i/>
                                <w:sz w:val="18"/>
                                <w:szCs w:val="20"/>
                              </w:rPr>
                              <w:t>fax</w:t>
                            </w:r>
                          </w:p>
                          <w:p w14:paraId="21798776" w14:textId="195C9BCC" w:rsidR="006D2E71" w:rsidRDefault="007039E1">
                            <w:r>
                              <w:rPr>
                                <w:rFonts w:ascii="Garamond" w:eastAsia="Times New Roman" w:hAnsi="Garamond" w:cs="Times New Roman"/>
                                <w:sz w:val="18"/>
                                <w:szCs w:val="20"/>
                              </w:rPr>
                              <w:t>www.uwm.edu/animal-care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3E489" id="_x0000_t202" coordsize="21600,21600" o:spt="202" path="m,l,21600r21600,l21600,xe">
                <v:stroke joinstyle="miter"/>
                <v:path gradientshapeok="t" o:connecttype="rect"/>
              </v:shapetype>
              <v:shape id="Text Box 2" o:spid="_x0000_s1026" type="#_x0000_t202" style="position:absolute;left:0;text-align:left;margin-left:254.4pt;margin-top:10.2pt;width:123.6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" fillcolor="white [3201]" stroked="f" strokeweight=".5pt">
                <v:textbox>
                  <w:txbxContent>
                    <w:p w14:paraId="6AF5E792" w14:textId="77777777" w:rsidR="006D2E71" w:rsidRPr="006D2E71" w:rsidRDefault="006D2E71"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eastAsia="Times New Roman" w:hAnsi="Garamond" w:cs="Times New Roman"/>
                          <w:sz w:val="18"/>
                          <w:szCs w:val="20"/>
                        </w:rPr>
                      </w:pPr>
                      <w:r w:rsidRPr="006D2E71">
                        <w:rPr>
                          <w:rFonts w:ascii="Garamond" w:eastAsia="Times New Roman" w:hAnsi="Garamond" w:cs="Times New Roman"/>
                          <w:sz w:val="18"/>
                          <w:szCs w:val="20"/>
                        </w:rPr>
                        <w:t>270 Engelmann Hall</w:t>
                      </w:r>
                    </w:p>
                    <w:p w14:paraId="76C1B28A" w14:textId="77777777" w:rsidR="006D2E71" w:rsidRPr="006D2E71" w:rsidRDefault="006D2E71"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eastAsia="Times New Roman" w:hAnsi="Garamond" w:cs="Times New Roman"/>
                          <w:sz w:val="18"/>
                          <w:szCs w:val="20"/>
                        </w:rPr>
                      </w:pPr>
                      <w:smartTag w:uri="urn:schemas-microsoft-com:office:smarttags" w:element="address">
                        <w:smartTag w:uri="urn:schemas-microsoft-com:office:smarttags" w:element="Street">
                          <w:r w:rsidRPr="006D2E71">
                            <w:rPr>
                              <w:rFonts w:ascii="Garamond" w:eastAsia="Times New Roman" w:hAnsi="Garamond" w:cs="Times New Roman"/>
                              <w:sz w:val="18"/>
                              <w:szCs w:val="20"/>
                            </w:rPr>
                            <w:t>P. O. Box</w:t>
                          </w:r>
                        </w:smartTag>
                        <w:r w:rsidRPr="006D2E71">
                          <w:rPr>
                            <w:rFonts w:ascii="Garamond" w:eastAsia="Times New Roman" w:hAnsi="Garamond" w:cs="Times New Roman"/>
                            <w:sz w:val="18"/>
                            <w:szCs w:val="20"/>
                          </w:rPr>
                          <w:t xml:space="preserve"> 413</w:t>
                        </w:r>
                      </w:smartTag>
                    </w:p>
                    <w:p w14:paraId="7FEB448D" w14:textId="77777777" w:rsidR="006D2E71" w:rsidRPr="006D2E71" w:rsidRDefault="006D2E71"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eastAsia="Times New Roman" w:hAnsi="Garamond" w:cs="Times New Roman"/>
                          <w:sz w:val="18"/>
                          <w:szCs w:val="20"/>
                        </w:rPr>
                      </w:pPr>
                      <w:smartTag w:uri="urn:schemas-microsoft-com:office:smarttags" w:element="place">
                        <w:smartTag w:uri="urn:schemas-microsoft-com:office:smarttags" w:element="City">
                          <w:r w:rsidRPr="006D2E71">
                            <w:rPr>
                              <w:rFonts w:ascii="Garamond" w:eastAsia="Times New Roman" w:hAnsi="Garamond" w:cs="Times New Roman"/>
                              <w:sz w:val="18"/>
                              <w:szCs w:val="20"/>
                            </w:rPr>
                            <w:t>Milwaukee</w:t>
                          </w:r>
                        </w:smartTag>
                        <w:r w:rsidRPr="006D2E71">
                          <w:rPr>
                            <w:rFonts w:ascii="Garamond" w:eastAsia="Times New Roman" w:hAnsi="Garamond" w:cs="Times New Roman"/>
                            <w:sz w:val="18"/>
                            <w:szCs w:val="20"/>
                          </w:rPr>
                          <w:t xml:space="preserve">, </w:t>
                        </w:r>
                        <w:smartTag w:uri="urn:schemas-microsoft-com:office:smarttags" w:element="State">
                          <w:r w:rsidRPr="006D2E71">
                            <w:rPr>
                              <w:rFonts w:ascii="Garamond" w:eastAsia="Times New Roman" w:hAnsi="Garamond" w:cs="Times New Roman"/>
                              <w:sz w:val="18"/>
                              <w:szCs w:val="20"/>
                            </w:rPr>
                            <w:t>WI</w:t>
                          </w:r>
                        </w:smartTag>
                      </w:smartTag>
                    </w:p>
                    <w:p w14:paraId="7FB1CF21" w14:textId="77777777" w:rsidR="006D2E71" w:rsidRPr="006D2E71" w:rsidRDefault="006D2E71"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eastAsia="Times New Roman" w:hAnsi="Garamond" w:cs="Times New Roman"/>
                          <w:sz w:val="18"/>
                          <w:szCs w:val="20"/>
                        </w:rPr>
                      </w:pPr>
                      <w:r w:rsidRPr="006D2E71">
                        <w:rPr>
                          <w:rFonts w:ascii="Garamond" w:eastAsia="Times New Roman" w:hAnsi="Garamond" w:cs="Times New Roman"/>
                          <w:sz w:val="18"/>
                          <w:szCs w:val="20"/>
                        </w:rPr>
                        <w:t>53201-0413</w:t>
                      </w:r>
                    </w:p>
                    <w:p w14:paraId="63641335" w14:textId="77777777" w:rsidR="006D2E71" w:rsidRPr="006D2E71" w:rsidRDefault="006D2E71"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eastAsia="Times New Roman" w:hAnsi="Garamond" w:cs="Times New Roman"/>
                          <w:sz w:val="18"/>
                          <w:szCs w:val="20"/>
                        </w:rPr>
                      </w:pPr>
                      <w:r w:rsidRPr="006D2E71">
                        <w:rPr>
                          <w:rFonts w:ascii="Garamond" w:eastAsia="Times New Roman" w:hAnsi="Garamond" w:cs="Times New Roman"/>
                          <w:sz w:val="18"/>
                          <w:szCs w:val="20"/>
                        </w:rPr>
                        <w:t>(414) 229-6339</w:t>
                      </w:r>
                      <w:r w:rsidR="00E873D2">
                        <w:rPr>
                          <w:rFonts w:ascii="Garamond" w:eastAsia="Times New Roman" w:hAnsi="Garamond" w:cs="Times New Roman"/>
                          <w:sz w:val="18"/>
                          <w:szCs w:val="20"/>
                        </w:rPr>
                        <w:t xml:space="preserve"> </w:t>
                      </w:r>
                      <w:r w:rsidR="00E873D2" w:rsidRPr="00E873D2">
                        <w:rPr>
                          <w:rFonts w:ascii="Garamond" w:eastAsia="Times New Roman" w:hAnsi="Garamond" w:cs="Times New Roman"/>
                          <w:i/>
                          <w:sz w:val="18"/>
                          <w:szCs w:val="20"/>
                        </w:rPr>
                        <w:t>ph</w:t>
                      </w:r>
                      <w:r w:rsidRPr="006D2E71">
                        <w:rPr>
                          <w:rFonts w:ascii="Garamond" w:eastAsia="Times New Roman" w:hAnsi="Garamond" w:cs="Times New Roman"/>
                          <w:i/>
                          <w:sz w:val="18"/>
                          <w:szCs w:val="20"/>
                        </w:rPr>
                        <w:t>one</w:t>
                      </w:r>
                    </w:p>
                    <w:p w14:paraId="1141B997" w14:textId="77777777" w:rsidR="006D2E71" w:rsidRPr="006D2E71" w:rsidRDefault="006D2E71"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eastAsia="Times New Roman" w:hAnsi="Garamond" w:cs="Times New Roman"/>
                          <w:i/>
                          <w:sz w:val="18"/>
                          <w:szCs w:val="20"/>
                        </w:rPr>
                      </w:pPr>
                      <w:r w:rsidRPr="006D2E71">
                        <w:rPr>
                          <w:rFonts w:ascii="Garamond" w:eastAsia="Times New Roman" w:hAnsi="Garamond" w:cs="Times New Roman"/>
                          <w:sz w:val="18"/>
                          <w:szCs w:val="20"/>
                        </w:rPr>
                        <w:t xml:space="preserve">(414) 229-6729 </w:t>
                      </w:r>
                      <w:r w:rsidRPr="006D2E71">
                        <w:rPr>
                          <w:rFonts w:ascii="Garamond" w:eastAsia="Times New Roman" w:hAnsi="Garamond" w:cs="Times New Roman"/>
                          <w:i/>
                          <w:sz w:val="18"/>
                          <w:szCs w:val="20"/>
                        </w:rPr>
                        <w:t>fax</w:t>
                      </w:r>
                    </w:p>
                    <w:p w14:paraId="21798776" w14:textId="195C9BCC" w:rsidR="006D2E71" w:rsidRDefault="007039E1">
                      <w:r>
                        <w:rPr>
                          <w:rFonts w:ascii="Garamond" w:eastAsia="Times New Roman" w:hAnsi="Garamond" w:cs="Times New Roman"/>
                          <w:sz w:val="18"/>
                          <w:szCs w:val="20"/>
                        </w:rPr>
                        <w:t>www.uwm.edu/animal-care</w:t>
                      </w:r>
                    </w:p>
                  </w:txbxContent>
                </v:textbox>
              </v:shape>
            </w:pict>
          </mc:Fallback>
        </mc:AlternateContent>
      </w:r>
    </w:p>
    <w:p w14:paraId="121C0381" w14:textId="77777777" w:rsidR="006D2E71" w:rsidRDefault="006D2E71" w:rsidP="006D2E71">
      <w:pPr>
        <w:ind w:left="-720"/>
        <w:jc w:val="center"/>
        <w:rPr>
          <w:rFonts w:ascii="Times New Roman" w:eastAsia="Calibri" w:hAnsi="Times New Roman" w:cs="Times New Roman"/>
          <w:sz w:val="32"/>
        </w:rPr>
      </w:pPr>
    </w:p>
    <w:p w14:paraId="57BF1B24" w14:textId="77777777" w:rsidR="006D2E71" w:rsidRDefault="006D2E71" w:rsidP="006D2E71">
      <w:pPr>
        <w:pStyle w:val="Heading1"/>
        <w:framePr w:w="0" w:hRule="auto" w:hSpace="0" w:wrap="auto" w:vAnchor="margin" w:hAnchor="text" w:xAlign="left" w:yAlign="inline"/>
      </w:pPr>
      <w:r>
        <w:t>Institutional Animal Care &amp; Use Committee</w:t>
      </w:r>
    </w:p>
    <w:p w14:paraId="59812585" w14:textId="77777777" w:rsidR="006D2E71" w:rsidRDefault="006D2E71" w:rsidP="006D2E71">
      <w:pPr>
        <w:ind w:left="-720"/>
        <w:jc w:val="center"/>
        <w:rPr>
          <w:rFonts w:ascii="Times New Roman" w:eastAsia="Calibri" w:hAnsi="Times New Roman" w:cs="Times New Roman"/>
          <w:sz w:val="32"/>
        </w:rPr>
      </w:pPr>
      <w:bookmarkStart w:id="0" w:name="_GoBack"/>
      <w:bookmarkEnd w:id="0"/>
    </w:p>
    <w:p w14:paraId="4A89394E" w14:textId="77777777" w:rsidR="006D2E71" w:rsidRPr="00983A7A" w:rsidRDefault="006D2E71" w:rsidP="006D2E71">
      <w:pPr>
        <w:ind w:left="-720"/>
        <w:jc w:val="center"/>
        <w:rPr>
          <w:rFonts w:ascii="Times New Roman" w:eastAsia="Calibri" w:hAnsi="Times New Roman" w:cs="Times New Roman"/>
          <w:b/>
          <w:sz w:val="32"/>
        </w:rPr>
      </w:pPr>
      <w:r w:rsidRPr="00983A7A">
        <w:rPr>
          <w:rFonts w:ascii="Times New Roman" w:eastAsia="Calibri" w:hAnsi="Times New Roman" w:cs="Times New Roman"/>
          <w:b/>
          <w:sz w:val="32"/>
        </w:rPr>
        <w:t>IACUC Guidelines for the Use of Non-Pharmaceutical Grade Compounds in Laboratory Animals at UWM</w:t>
      </w:r>
    </w:p>
    <w:p w14:paraId="0D6844F3" w14:textId="77777777" w:rsidR="006D2E71" w:rsidRPr="006D2E71" w:rsidRDefault="006D2E71" w:rsidP="006D2E71">
      <w:pPr>
        <w:spacing w:after="0" w:line="240" w:lineRule="auto"/>
        <w:ind w:left="-720"/>
        <w:rPr>
          <w:rFonts w:ascii="Times New Roman" w:eastAsia="Calibri" w:hAnsi="Times New Roman" w:cs="Times New Roman"/>
          <w:sz w:val="24"/>
        </w:rPr>
      </w:pPr>
    </w:p>
    <w:p w14:paraId="7429C90F" w14:textId="77777777" w:rsidR="006D2E71" w:rsidRPr="006D2E71" w:rsidRDefault="006D2E71" w:rsidP="006D2E71">
      <w:pPr>
        <w:numPr>
          <w:ilvl w:val="0"/>
          <w:numId w:val="3"/>
        </w:num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contextualSpacing/>
        <w:textAlignment w:val="baseline"/>
        <w:rPr>
          <w:rFonts w:ascii="Times New Roman" w:eastAsia="Calibri" w:hAnsi="Times New Roman" w:cs="Times New Roman"/>
          <w:sz w:val="24"/>
        </w:rPr>
      </w:pPr>
      <w:r w:rsidRPr="006D2E71">
        <w:rPr>
          <w:rFonts w:ascii="Times New Roman" w:eastAsia="Calibri" w:hAnsi="Times New Roman" w:cs="Times New Roman"/>
          <w:sz w:val="24"/>
        </w:rPr>
        <w:t xml:space="preserve">A </w:t>
      </w:r>
      <w:r w:rsidRPr="006D2E71">
        <w:rPr>
          <w:rFonts w:ascii="Times New Roman" w:eastAsia="Calibri" w:hAnsi="Times New Roman" w:cs="Times New Roman"/>
          <w:b/>
          <w:sz w:val="24"/>
        </w:rPr>
        <w:t>pharmaceutical grade compound</w:t>
      </w:r>
      <w:r w:rsidRPr="006D2E71">
        <w:rPr>
          <w:rFonts w:ascii="Times New Roman" w:eastAsia="Calibri" w:hAnsi="Times New Roman" w:cs="Times New Roman"/>
          <w:sz w:val="24"/>
        </w:rPr>
        <w:t xml:space="preserve"> is any active or inactive drug, biologic, reagent, etc. which is approved by the FDA or for which a chemical purity standard has been written/established by any recognized pharmacopeia (book/compendia) such as: US Pharmacopeia</w:t>
      </w:r>
      <w:r w:rsidR="00F20AFE">
        <w:rPr>
          <w:rFonts w:ascii="Times New Roman" w:eastAsia="Calibri" w:hAnsi="Times New Roman" w:cs="Times New Roman"/>
          <w:sz w:val="24"/>
        </w:rPr>
        <w:t xml:space="preserve"> (USP)</w:t>
      </w:r>
      <w:r w:rsidRPr="006D2E71">
        <w:rPr>
          <w:rFonts w:ascii="Times New Roman" w:eastAsia="Calibri" w:hAnsi="Times New Roman" w:cs="Times New Roman"/>
          <w:sz w:val="24"/>
        </w:rPr>
        <w:t>, National Formulary, British Pharmacopeia.</w:t>
      </w:r>
    </w:p>
    <w:p w14:paraId="021339CB" w14:textId="77777777" w:rsidR="006D2E71" w:rsidRPr="006D2E71" w:rsidRDefault="006D2E71" w:rsidP="006D2E71">
      <w:pPr>
        <w:spacing w:after="0" w:line="240" w:lineRule="auto"/>
        <w:ind w:left="-720"/>
        <w:rPr>
          <w:rFonts w:ascii="Times New Roman" w:eastAsia="Calibri" w:hAnsi="Times New Roman" w:cs="Times New Roman"/>
          <w:sz w:val="24"/>
        </w:rPr>
      </w:pPr>
    </w:p>
    <w:p w14:paraId="369CBF3E" w14:textId="77777777" w:rsidR="006D2E71" w:rsidRPr="006D2E71" w:rsidRDefault="006D2E71" w:rsidP="006D2E71">
      <w:pPr>
        <w:numPr>
          <w:ilvl w:val="0"/>
          <w:numId w:val="1"/>
        </w:num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contextualSpacing/>
        <w:textAlignment w:val="baseline"/>
        <w:rPr>
          <w:rFonts w:ascii="Times New Roman" w:eastAsia="Calibri" w:hAnsi="Times New Roman" w:cs="Times New Roman"/>
          <w:sz w:val="24"/>
        </w:rPr>
      </w:pPr>
      <w:r w:rsidRPr="006D2E71">
        <w:rPr>
          <w:rFonts w:ascii="Times New Roman" w:eastAsia="Calibri" w:hAnsi="Times New Roman" w:cs="Times New Roman"/>
          <w:sz w:val="24"/>
        </w:rPr>
        <w:t xml:space="preserve">For all species, pharmaceutical grade compounds should be used whenever they are available even in survival and non-survival studies.  </w:t>
      </w:r>
    </w:p>
    <w:p w14:paraId="36618498" w14:textId="77777777" w:rsidR="006D2E71" w:rsidRPr="006D2E71" w:rsidRDefault="006D2E71" w:rsidP="006D2E71">
      <w:pPr>
        <w:spacing w:after="0" w:line="240" w:lineRule="auto"/>
        <w:contextualSpacing/>
        <w:rPr>
          <w:rFonts w:ascii="Times New Roman" w:eastAsia="Calibri" w:hAnsi="Times New Roman" w:cs="Times New Roman"/>
          <w:sz w:val="24"/>
        </w:rPr>
      </w:pPr>
    </w:p>
    <w:p w14:paraId="5628883E" w14:textId="77777777" w:rsidR="006D2E71" w:rsidRPr="006D2E71" w:rsidRDefault="006D2E71" w:rsidP="006D2E71">
      <w:pPr>
        <w:numPr>
          <w:ilvl w:val="0"/>
          <w:numId w:val="1"/>
        </w:num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contextualSpacing/>
        <w:textAlignment w:val="baseline"/>
        <w:rPr>
          <w:rFonts w:ascii="Times New Roman" w:eastAsia="Calibri" w:hAnsi="Times New Roman" w:cs="Times New Roman"/>
          <w:sz w:val="24"/>
        </w:rPr>
      </w:pPr>
      <w:r w:rsidRPr="006D2E71">
        <w:rPr>
          <w:rFonts w:ascii="Times New Roman" w:eastAsia="Calibri" w:hAnsi="Times New Roman" w:cs="Times New Roman"/>
          <w:sz w:val="24"/>
        </w:rPr>
        <w:t>For all species, permission must be obtained from the IACUC to administer any non-pharmaceutical chemic</w:t>
      </w:r>
      <w:r w:rsidR="00F20AFE">
        <w:rPr>
          <w:rFonts w:ascii="Times New Roman" w:eastAsia="Calibri" w:hAnsi="Times New Roman" w:cs="Times New Roman"/>
          <w:sz w:val="24"/>
        </w:rPr>
        <w:t>al compounds.  Cost in itself is</w:t>
      </w:r>
      <w:r w:rsidRPr="006D2E71">
        <w:rPr>
          <w:rFonts w:ascii="Times New Roman" w:eastAsia="Calibri" w:hAnsi="Times New Roman" w:cs="Times New Roman"/>
          <w:sz w:val="24"/>
        </w:rPr>
        <w:t xml:space="preserve"> not typically considered an adequate reason to employ non-pharmaceutical chemical compounds.   </w:t>
      </w:r>
    </w:p>
    <w:p w14:paraId="6BFFA83C" w14:textId="77777777" w:rsidR="006D2E71" w:rsidRPr="006D2E71" w:rsidRDefault="006D2E71" w:rsidP="006D2E71">
      <w:pPr>
        <w:spacing w:after="0" w:line="240" w:lineRule="auto"/>
        <w:contextualSpacing/>
        <w:rPr>
          <w:rFonts w:ascii="Times New Roman" w:eastAsia="Calibri" w:hAnsi="Times New Roman" w:cs="Times New Roman"/>
          <w:sz w:val="24"/>
        </w:rPr>
      </w:pPr>
    </w:p>
    <w:p w14:paraId="49E5ED59" w14:textId="77777777" w:rsidR="006D2E71" w:rsidRPr="006D2E71" w:rsidRDefault="006D2E71" w:rsidP="006D2E71">
      <w:pPr>
        <w:numPr>
          <w:ilvl w:val="0"/>
          <w:numId w:val="1"/>
        </w:num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contextualSpacing/>
        <w:textAlignment w:val="baseline"/>
        <w:rPr>
          <w:rFonts w:ascii="Times New Roman" w:eastAsia="Calibri" w:hAnsi="Times New Roman" w:cs="Times New Roman"/>
          <w:sz w:val="20"/>
        </w:rPr>
      </w:pPr>
      <w:r w:rsidRPr="006D2E71">
        <w:rPr>
          <w:rFonts w:ascii="Times New Roman" w:eastAsia="Calibri" w:hAnsi="Times New Roman" w:cs="Times New Roman"/>
          <w:sz w:val="24"/>
        </w:rPr>
        <w:t xml:space="preserve">For all species, any non-pharmaceutical substances may be acceptable when: </w:t>
      </w:r>
    </w:p>
    <w:p w14:paraId="14CF4A5F" w14:textId="77777777" w:rsidR="006D2E71" w:rsidRPr="006D2E71" w:rsidRDefault="006D2E71" w:rsidP="006D2E71">
      <w:pPr>
        <w:numPr>
          <w:ilvl w:val="0"/>
          <w:numId w:val="4"/>
        </w:num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contextualSpacing/>
        <w:textAlignment w:val="baseline"/>
        <w:rPr>
          <w:rFonts w:ascii="Times New Roman" w:eastAsia="Calibri" w:hAnsi="Times New Roman" w:cs="Times New Roman"/>
          <w:sz w:val="20"/>
        </w:rPr>
      </w:pPr>
      <w:r w:rsidRPr="006D2E71">
        <w:rPr>
          <w:rFonts w:ascii="Times New Roman" w:eastAsia="Calibri" w:hAnsi="Times New Roman" w:cs="Times New Roman"/>
          <w:sz w:val="24"/>
        </w:rPr>
        <w:t>There are no equivalent pharmaceutical grade compounds available</w:t>
      </w:r>
    </w:p>
    <w:p w14:paraId="6F64EC96" w14:textId="77777777" w:rsidR="006D2E71" w:rsidRPr="006D2E71" w:rsidRDefault="006D2E71" w:rsidP="006D2E71">
      <w:pPr>
        <w:numPr>
          <w:ilvl w:val="0"/>
          <w:numId w:val="4"/>
        </w:num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contextualSpacing/>
        <w:textAlignment w:val="baseline"/>
        <w:rPr>
          <w:rFonts w:ascii="Times New Roman" w:eastAsia="Calibri" w:hAnsi="Times New Roman" w:cs="Times New Roman"/>
          <w:sz w:val="20"/>
        </w:rPr>
      </w:pPr>
      <w:r w:rsidRPr="006D2E71">
        <w:rPr>
          <w:rFonts w:ascii="Times New Roman" w:eastAsia="Calibri" w:hAnsi="Times New Roman" w:cs="Times New Roman"/>
          <w:sz w:val="24"/>
        </w:rPr>
        <w:t>Approved by the IACUC</w:t>
      </w:r>
    </w:p>
    <w:p w14:paraId="0DD51AAD" w14:textId="77777777" w:rsidR="006D2E71" w:rsidRPr="006D2E71" w:rsidRDefault="006D2E71" w:rsidP="006D2E71">
      <w:pPr>
        <w:numPr>
          <w:ilvl w:val="0"/>
          <w:numId w:val="4"/>
        </w:num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contextualSpacing/>
        <w:textAlignment w:val="baseline"/>
        <w:rPr>
          <w:rFonts w:ascii="Times New Roman" w:eastAsia="Calibri" w:hAnsi="Times New Roman" w:cs="Times New Roman"/>
          <w:sz w:val="20"/>
        </w:rPr>
      </w:pPr>
      <w:r w:rsidRPr="006D2E71">
        <w:rPr>
          <w:rFonts w:ascii="Times New Roman" w:eastAsia="Calibri" w:hAnsi="Times New Roman" w:cs="Times New Roman"/>
          <w:sz w:val="24"/>
        </w:rPr>
        <w:t>Scientifically necessary</w:t>
      </w:r>
    </w:p>
    <w:p w14:paraId="436D0CC7" w14:textId="77777777" w:rsidR="006D2E71" w:rsidRPr="006D2E71" w:rsidRDefault="006D2E71" w:rsidP="006D2E71">
      <w:pPr>
        <w:numPr>
          <w:ilvl w:val="0"/>
          <w:numId w:val="4"/>
        </w:num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contextualSpacing/>
        <w:textAlignment w:val="baseline"/>
        <w:rPr>
          <w:rFonts w:ascii="Times New Roman" w:eastAsia="Calibri" w:hAnsi="Times New Roman" w:cs="Times New Roman"/>
          <w:sz w:val="20"/>
        </w:rPr>
      </w:pPr>
      <w:r w:rsidRPr="006D2E71">
        <w:rPr>
          <w:rFonts w:ascii="Times New Roman" w:eastAsia="Calibri" w:hAnsi="Times New Roman" w:cs="Times New Roman"/>
          <w:sz w:val="24"/>
        </w:rPr>
        <w:t>There is a schedule of monitoring that allows the detection of adverse events related to the use of non-pharmaceutical grade compounds</w:t>
      </w:r>
    </w:p>
    <w:p w14:paraId="49901565" w14:textId="77777777" w:rsidR="006D2E71" w:rsidRPr="006D2E71" w:rsidRDefault="006D2E71" w:rsidP="006D2E71">
      <w:pPr>
        <w:numPr>
          <w:ilvl w:val="0"/>
          <w:numId w:val="4"/>
        </w:num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contextualSpacing/>
        <w:textAlignment w:val="baseline"/>
        <w:rPr>
          <w:rFonts w:ascii="Times New Roman" w:eastAsia="Calibri" w:hAnsi="Times New Roman" w:cs="Times New Roman"/>
          <w:sz w:val="20"/>
        </w:rPr>
      </w:pPr>
      <w:r w:rsidRPr="006D2E71">
        <w:rPr>
          <w:rFonts w:ascii="Times New Roman" w:eastAsia="Calibri" w:hAnsi="Times New Roman" w:cs="Times New Roman"/>
          <w:sz w:val="24"/>
        </w:rPr>
        <w:t>Issues related to quality assurance such as proper preparation, storage and shelf life have been addressed in the IACUC protocol form</w:t>
      </w:r>
    </w:p>
    <w:p w14:paraId="37919B22" w14:textId="77777777" w:rsidR="006D2E71" w:rsidRPr="006D2E71" w:rsidRDefault="006D2E71" w:rsidP="006D2E71">
      <w:pPr>
        <w:numPr>
          <w:ilvl w:val="0"/>
          <w:numId w:val="4"/>
        </w:num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contextualSpacing/>
        <w:textAlignment w:val="baseline"/>
        <w:rPr>
          <w:rFonts w:ascii="Times New Roman" w:eastAsia="Calibri" w:hAnsi="Times New Roman" w:cs="Times New Roman"/>
          <w:sz w:val="24"/>
          <w:szCs w:val="24"/>
        </w:rPr>
      </w:pPr>
      <w:r w:rsidRPr="006D2E71">
        <w:rPr>
          <w:rFonts w:ascii="Times New Roman" w:eastAsia="Calibri" w:hAnsi="Times New Roman" w:cs="Times New Roman"/>
          <w:sz w:val="24"/>
          <w:szCs w:val="24"/>
        </w:rPr>
        <w:t>These factors would include:</w:t>
      </w:r>
    </w:p>
    <w:p w14:paraId="67F94037" w14:textId="77777777" w:rsidR="006D2E71" w:rsidRPr="006D2E71" w:rsidRDefault="006D2E71" w:rsidP="006D2E71">
      <w:pPr>
        <w:numPr>
          <w:ilvl w:val="2"/>
          <w:numId w:val="3"/>
        </w:num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contextualSpacing/>
        <w:textAlignment w:val="baseline"/>
        <w:rPr>
          <w:rFonts w:ascii="Times New Roman" w:eastAsia="Calibri" w:hAnsi="Times New Roman" w:cs="Times New Roman"/>
          <w:sz w:val="24"/>
          <w:szCs w:val="24"/>
        </w:rPr>
      </w:pPr>
      <w:r w:rsidRPr="006D2E71">
        <w:rPr>
          <w:rFonts w:ascii="Times New Roman" w:eastAsia="Calibri" w:hAnsi="Times New Roman" w:cs="Times New Roman"/>
          <w:sz w:val="24"/>
          <w:szCs w:val="24"/>
        </w:rPr>
        <w:t>Appropriate drug reconstitution, preparation and/or compounding</w:t>
      </w:r>
    </w:p>
    <w:p w14:paraId="60216827" w14:textId="77777777" w:rsidR="006D2E71" w:rsidRPr="006D2E71" w:rsidRDefault="006D2E71" w:rsidP="006D2E71">
      <w:pPr>
        <w:numPr>
          <w:ilvl w:val="2"/>
          <w:numId w:val="3"/>
        </w:num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contextualSpacing/>
        <w:textAlignment w:val="baseline"/>
        <w:rPr>
          <w:rFonts w:ascii="Times New Roman" w:eastAsia="Calibri" w:hAnsi="Times New Roman" w:cs="Times New Roman"/>
          <w:sz w:val="24"/>
          <w:szCs w:val="24"/>
        </w:rPr>
      </w:pPr>
      <w:r w:rsidRPr="006D2E71">
        <w:rPr>
          <w:rFonts w:ascii="Times New Roman" w:eastAsia="Calibri" w:hAnsi="Times New Roman" w:cs="Times New Roman"/>
          <w:sz w:val="24"/>
          <w:szCs w:val="24"/>
        </w:rPr>
        <w:t>Drug purity, sterility, pH, osmolality, concentration, et cetera</w:t>
      </w:r>
    </w:p>
    <w:p w14:paraId="7CA588C4" w14:textId="77777777" w:rsidR="006D2E71" w:rsidRPr="006D2E71" w:rsidRDefault="006D2E71" w:rsidP="006D2E71">
      <w:pPr>
        <w:numPr>
          <w:ilvl w:val="2"/>
          <w:numId w:val="3"/>
        </w:num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contextualSpacing/>
        <w:textAlignment w:val="baseline"/>
        <w:rPr>
          <w:rFonts w:ascii="Times New Roman" w:eastAsia="Calibri" w:hAnsi="Times New Roman" w:cs="Times New Roman"/>
          <w:sz w:val="24"/>
          <w:szCs w:val="24"/>
        </w:rPr>
      </w:pPr>
      <w:r w:rsidRPr="006D2E71">
        <w:rPr>
          <w:rFonts w:ascii="Times New Roman" w:eastAsia="Calibri" w:hAnsi="Times New Roman" w:cs="Times New Roman"/>
          <w:sz w:val="24"/>
          <w:szCs w:val="24"/>
        </w:rPr>
        <w:t>Drug safety, efficacy, and shelf-life</w:t>
      </w:r>
    </w:p>
    <w:p w14:paraId="757CB6EB" w14:textId="77777777" w:rsidR="006D2E71" w:rsidRPr="006D2E71" w:rsidRDefault="006D2E71" w:rsidP="006D2E71">
      <w:pPr>
        <w:numPr>
          <w:ilvl w:val="2"/>
          <w:numId w:val="3"/>
        </w:num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contextualSpacing/>
        <w:textAlignment w:val="baseline"/>
        <w:rPr>
          <w:rFonts w:ascii="Times New Roman" w:eastAsia="Calibri" w:hAnsi="Times New Roman" w:cs="Times New Roman"/>
          <w:sz w:val="24"/>
          <w:szCs w:val="24"/>
        </w:rPr>
      </w:pPr>
      <w:r w:rsidRPr="006D2E71">
        <w:rPr>
          <w:rFonts w:ascii="Times New Roman" w:eastAsia="Calibri" w:hAnsi="Times New Roman" w:cs="Times New Roman"/>
          <w:sz w:val="24"/>
          <w:szCs w:val="24"/>
        </w:rPr>
        <w:t xml:space="preserve">Site and route of administration </w:t>
      </w:r>
    </w:p>
    <w:p w14:paraId="4C824EFB" w14:textId="77777777" w:rsidR="006D2E71" w:rsidRPr="006D2E71" w:rsidRDefault="006D2E71" w:rsidP="006D2E71">
      <w:pPr>
        <w:numPr>
          <w:ilvl w:val="2"/>
          <w:numId w:val="3"/>
        </w:num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contextualSpacing/>
        <w:textAlignment w:val="baseline"/>
        <w:rPr>
          <w:rFonts w:ascii="Times New Roman" w:eastAsia="Calibri" w:hAnsi="Times New Roman" w:cs="Times New Roman"/>
          <w:sz w:val="24"/>
          <w:szCs w:val="24"/>
        </w:rPr>
      </w:pPr>
      <w:r w:rsidRPr="006D2E71">
        <w:rPr>
          <w:rFonts w:ascii="Times New Roman" w:eastAsia="Calibri" w:hAnsi="Times New Roman" w:cs="Times New Roman"/>
          <w:sz w:val="24"/>
          <w:szCs w:val="24"/>
        </w:rPr>
        <w:t>Training, experience, and performance of personnel involved in usage</w:t>
      </w:r>
    </w:p>
    <w:p w14:paraId="3E1CC588" w14:textId="77777777" w:rsidR="006D2E71" w:rsidRPr="006D2E71" w:rsidRDefault="006D2E71" w:rsidP="006D2E71">
      <w:pPr>
        <w:numPr>
          <w:ilvl w:val="2"/>
          <w:numId w:val="3"/>
        </w:num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contextualSpacing/>
        <w:textAlignment w:val="baseline"/>
        <w:rPr>
          <w:rFonts w:ascii="Times New Roman" w:eastAsia="Calibri" w:hAnsi="Times New Roman" w:cs="Times New Roman"/>
          <w:sz w:val="24"/>
          <w:szCs w:val="24"/>
        </w:rPr>
      </w:pPr>
      <w:r w:rsidRPr="006D2E71">
        <w:rPr>
          <w:rFonts w:ascii="Times New Roman" w:eastAsia="Calibri" w:hAnsi="Times New Roman" w:cs="Times New Roman"/>
          <w:sz w:val="24"/>
          <w:szCs w:val="24"/>
        </w:rPr>
        <w:t>Personnel Responsible for monitoring preparation and use</w:t>
      </w:r>
    </w:p>
    <w:p w14:paraId="70D2BDC8" w14:textId="77777777" w:rsidR="006D2E71" w:rsidRPr="006D2E71" w:rsidRDefault="006D2E71" w:rsidP="006D2E71">
      <w:pPr>
        <w:numPr>
          <w:ilvl w:val="2"/>
          <w:numId w:val="3"/>
        </w:num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contextualSpacing/>
        <w:textAlignment w:val="baseline"/>
        <w:rPr>
          <w:rFonts w:ascii="Times New Roman" w:eastAsia="Calibri" w:hAnsi="Times New Roman" w:cs="Times New Roman"/>
          <w:sz w:val="24"/>
          <w:szCs w:val="24"/>
        </w:rPr>
      </w:pPr>
      <w:r w:rsidRPr="006D2E71">
        <w:rPr>
          <w:rFonts w:ascii="Times New Roman" w:eastAsia="Calibri" w:hAnsi="Times New Roman" w:cs="Times New Roman"/>
          <w:sz w:val="24"/>
          <w:szCs w:val="24"/>
        </w:rPr>
        <w:t>Side effects and adverse reactions</w:t>
      </w:r>
    </w:p>
    <w:p w14:paraId="5FC79784" w14:textId="77777777" w:rsidR="006D2E71" w:rsidRPr="006D2E71" w:rsidRDefault="006D2E71" w:rsidP="006D2E71">
      <w:pPr>
        <w:spacing w:after="0" w:line="240" w:lineRule="auto"/>
        <w:ind w:left="1440"/>
        <w:contextualSpacing/>
        <w:rPr>
          <w:rFonts w:ascii="Times New Roman" w:eastAsia="Calibri" w:hAnsi="Times New Roman" w:cs="Times New Roman"/>
          <w:sz w:val="24"/>
          <w:szCs w:val="24"/>
        </w:rPr>
      </w:pPr>
    </w:p>
    <w:p w14:paraId="070C9885" w14:textId="77777777" w:rsidR="006D2E71" w:rsidRPr="006D2E71" w:rsidRDefault="006D2E71" w:rsidP="006D2E71">
      <w:pPr>
        <w:spacing w:after="0" w:line="240" w:lineRule="auto"/>
        <w:ind w:left="1440"/>
        <w:rPr>
          <w:rFonts w:ascii="Times New Roman" w:eastAsia="Calibri" w:hAnsi="Times New Roman" w:cs="Times New Roman"/>
          <w:sz w:val="24"/>
          <w:szCs w:val="24"/>
        </w:rPr>
      </w:pPr>
      <w:r w:rsidRPr="006D2E71">
        <w:rPr>
          <w:rFonts w:ascii="Times New Roman" w:eastAsia="Calibri" w:hAnsi="Times New Roman" w:cs="Times New Roman"/>
          <w:sz w:val="24"/>
          <w:szCs w:val="24"/>
        </w:rPr>
        <w:t xml:space="preserve">*Not all factors may be applicable. </w:t>
      </w:r>
    </w:p>
    <w:p w14:paraId="0943D992" w14:textId="77777777" w:rsidR="006D2E71" w:rsidRPr="006D2E71" w:rsidRDefault="006D2E71" w:rsidP="006D2E71">
      <w:pPr>
        <w:spacing w:after="0" w:line="240" w:lineRule="auto"/>
        <w:ind w:left="1440"/>
        <w:contextualSpacing/>
        <w:rPr>
          <w:rFonts w:ascii="Times New Roman" w:eastAsia="Calibri" w:hAnsi="Times New Roman" w:cs="Times New Roman"/>
          <w:sz w:val="24"/>
          <w:szCs w:val="24"/>
        </w:rPr>
      </w:pPr>
      <w:r w:rsidRPr="006D2E71">
        <w:rPr>
          <w:rFonts w:ascii="Times New Roman" w:eastAsia="Calibri" w:hAnsi="Times New Roman" w:cs="Times New Roman"/>
          <w:sz w:val="24"/>
        </w:rPr>
        <w:t>*If the “shelf life” is not obtainable, it is recommended that the drug solution be re-prepared each day it is used.</w:t>
      </w:r>
    </w:p>
    <w:p w14:paraId="0AFE72CF" w14:textId="77777777" w:rsidR="006D2E71" w:rsidRPr="006D2E71" w:rsidRDefault="006D2E71" w:rsidP="006D2E71">
      <w:pPr>
        <w:spacing w:after="0" w:line="240" w:lineRule="auto"/>
        <w:ind w:left="-720"/>
        <w:rPr>
          <w:rFonts w:ascii="Times New Roman" w:eastAsia="Calibri" w:hAnsi="Times New Roman" w:cs="Times New Roman"/>
          <w:sz w:val="20"/>
        </w:rPr>
      </w:pPr>
    </w:p>
    <w:p w14:paraId="5E872E96" w14:textId="77777777" w:rsidR="006D2E71" w:rsidRPr="006D2E71" w:rsidRDefault="006D2E71" w:rsidP="006D2E71">
      <w:pPr>
        <w:spacing w:after="0" w:line="240" w:lineRule="auto"/>
        <w:ind w:left="-720"/>
        <w:rPr>
          <w:rFonts w:ascii="Times New Roman" w:eastAsia="Calibri" w:hAnsi="Times New Roman" w:cs="Times New Roman"/>
          <w:sz w:val="24"/>
          <w:szCs w:val="24"/>
        </w:rPr>
      </w:pPr>
      <w:r w:rsidRPr="006D2E71">
        <w:rPr>
          <w:rFonts w:ascii="Times New Roman" w:eastAsia="Calibri" w:hAnsi="Times New Roman" w:cs="Times New Roman"/>
          <w:b/>
          <w:sz w:val="24"/>
          <w:szCs w:val="24"/>
        </w:rPr>
        <w:lastRenderedPageBreak/>
        <w:t xml:space="preserve">Regulations: </w:t>
      </w:r>
      <w:r w:rsidRPr="006D2E71">
        <w:rPr>
          <w:rFonts w:ascii="Times New Roman" w:eastAsia="Calibri" w:hAnsi="Times New Roman" w:cs="Times New Roman"/>
          <w:sz w:val="24"/>
          <w:szCs w:val="24"/>
        </w:rPr>
        <w:t>USDA Policy 3 states the following regarding use of non-pharmaceutical grade compounds in animal experimentation:</w:t>
      </w:r>
    </w:p>
    <w:p w14:paraId="031323F6" w14:textId="77777777" w:rsidR="006D2E71" w:rsidRPr="006D2E71" w:rsidRDefault="006D2E71" w:rsidP="006D2E71">
      <w:pPr>
        <w:spacing w:after="0" w:line="240" w:lineRule="auto"/>
        <w:ind w:left="-720"/>
        <w:rPr>
          <w:rFonts w:ascii="Times New Roman" w:eastAsia="Calibri" w:hAnsi="Times New Roman" w:cs="Times New Roman"/>
          <w:i/>
          <w:sz w:val="24"/>
          <w:szCs w:val="24"/>
        </w:rPr>
      </w:pPr>
      <w:r w:rsidRPr="006D2E71">
        <w:rPr>
          <w:rFonts w:ascii="Times New Roman" w:eastAsia="Calibri" w:hAnsi="Times New Roman" w:cs="Times New Roman"/>
          <w:i/>
          <w:sz w:val="24"/>
          <w:szCs w:val="24"/>
        </w:rPr>
        <w:tab/>
      </w:r>
    </w:p>
    <w:p w14:paraId="10574453" w14:textId="77777777" w:rsidR="006D2E71" w:rsidRPr="006D2E71" w:rsidRDefault="006D2E71" w:rsidP="006D2E71">
      <w:pPr>
        <w:spacing w:after="0" w:line="240" w:lineRule="auto"/>
        <w:jc w:val="both"/>
        <w:rPr>
          <w:rFonts w:ascii="Times New Roman" w:eastAsia="Calibri" w:hAnsi="Times New Roman" w:cs="Times New Roman"/>
          <w:i/>
          <w:sz w:val="24"/>
          <w:szCs w:val="24"/>
        </w:rPr>
      </w:pPr>
      <w:r w:rsidRPr="006D2E71">
        <w:rPr>
          <w:rFonts w:ascii="Times New Roman" w:eastAsia="Calibri" w:hAnsi="Times New Roman" w:cs="Times New Roman"/>
          <w:i/>
          <w:sz w:val="24"/>
          <w:szCs w:val="24"/>
        </w:rPr>
        <w:t xml:space="preserve">Investigators are expected to use pharmaceutical-grade medications whenever they are available, even in acute procedures.  Non-Pharmaceutical-grade chemical compounds should only be used in regulated animals after specific review and approval by the IACUC for reasons such as scientific necessity or non-availability of an acceptable veterinary or human pharmaceutical-grade product.  Cost savings alone are not an adequate justification for using non-pharmaceutical-grade compounds in regulated animals.  </w:t>
      </w:r>
    </w:p>
    <w:p w14:paraId="7EE4E138" w14:textId="77777777" w:rsidR="006D2E71" w:rsidRPr="006D2E71" w:rsidRDefault="006D2E71" w:rsidP="006D2E71">
      <w:pPr>
        <w:spacing w:after="0" w:line="240" w:lineRule="auto"/>
        <w:rPr>
          <w:rFonts w:ascii="Times New Roman" w:eastAsia="Calibri" w:hAnsi="Times New Roman" w:cs="Times New Roman"/>
          <w:i/>
          <w:sz w:val="24"/>
          <w:szCs w:val="24"/>
        </w:rPr>
      </w:pPr>
    </w:p>
    <w:p w14:paraId="2DA1139C" w14:textId="77777777" w:rsidR="006D2E71" w:rsidRPr="006D2E71" w:rsidRDefault="006D2E71" w:rsidP="006D2E71">
      <w:pPr>
        <w:spacing w:after="0" w:line="240" w:lineRule="auto"/>
        <w:ind w:left="-720"/>
        <w:rPr>
          <w:rFonts w:ascii="Times New Roman" w:eastAsia="Calibri" w:hAnsi="Times New Roman" w:cs="Times New Roman"/>
          <w:b/>
          <w:sz w:val="24"/>
          <w:szCs w:val="24"/>
        </w:rPr>
      </w:pPr>
      <w:r w:rsidRPr="006D2E71">
        <w:rPr>
          <w:rFonts w:ascii="Times New Roman" w:eastAsia="Calibri" w:hAnsi="Times New Roman" w:cs="Times New Roman"/>
          <w:b/>
          <w:sz w:val="24"/>
          <w:szCs w:val="24"/>
        </w:rPr>
        <w:t>OLAW: May investigators use non-pharmaceutical-grade compounds in animals?</w:t>
      </w:r>
    </w:p>
    <w:p w14:paraId="177A21AA" w14:textId="77777777" w:rsidR="006D2E71" w:rsidRPr="006D2E71" w:rsidRDefault="006D2E71" w:rsidP="006D2E71">
      <w:pPr>
        <w:spacing w:after="0" w:line="240" w:lineRule="auto"/>
        <w:jc w:val="both"/>
        <w:rPr>
          <w:rFonts w:ascii="Times New Roman" w:eastAsia="Calibri" w:hAnsi="Times New Roman" w:cs="Times New Roman"/>
          <w:i/>
          <w:sz w:val="24"/>
          <w:szCs w:val="24"/>
        </w:rPr>
      </w:pPr>
      <w:r w:rsidRPr="006D2E71">
        <w:rPr>
          <w:rFonts w:ascii="Times New Roman" w:eastAsia="Calibri" w:hAnsi="Times New Roman" w:cs="Times New Roman"/>
          <w:i/>
          <w:sz w:val="24"/>
          <w:szCs w:val="24"/>
        </w:rPr>
        <w:t>OLAW agrees with the USDA that pharmaceutical-grade</w:t>
      </w:r>
      <w:r w:rsidRPr="006D2E71">
        <w:rPr>
          <w:rFonts w:ascii="Times New Roman" w:eastAsia="Calibri" w:hAnsi="Times New Roman" w:cs="Times New Roman"/>
          <w:i/>
          <w:sz w:val="24"/>
          <w:szCs w:val="24"/>
          <w:vertAlign w:val="superscript"/>
        </w:rPr>
        <w:footnoteReference w:id="1"/>
      </w:r>
      <w:r w:rsidRPr="006D2E71">
        <w:rPr>
          <w:rFonts w:ascii="Times New Roman" w:eastAsia="Calibri" w:hAnsi="Times New Roman" w:cs="Times New Roman"/>
          <w:i/>
          <w:sz w:val="24"/>
          <w:szCs w:val="24"/>
        </w:rPr>
        <w:t xml:space="preserve"> chemicals and other substances, when available, must be used to avoid toxicity or side effects that may threaten the health and welfare of vertebrate animals and / or interfere with the interpretation of research results. However, it is frequently necessary to use investigational compounds, veterinarian or pharmacy-compounded </w:t>
      </w:r>
      <w:r w:rsidRPr="006D2E71">
        <w:rPr>
          <w:rFonts w:ascii="Times New Roman" w:eastAsia="Calibri" w:hAnsi="Times New Roman" w:cs="Times New Roman"/>
          <w:i/>
          <w:sz w:val="24"/>
          <w:szCs w:val="24"/>
          <w:vertAlign w:val="superscript"/>
        </w:rPr>
        <w:footnoteReference w:id="2"/>
      </w:r>
      <w:r w:rsidRPr="006D2E71">
        <w:rPr>
          <w:rFonts w:ascii="Times New Roman" w:eastAsia="Calibri" w:hAnsi="Times New Roman" w:cs="Times New Roman"/>
          <w:i/>
          <w:sz w:val="24"/>
          <w:szCs w:val="24"/>
        </w:rPr>
        <w:t xml:space="preserve">drugs, and / or Schedule I </w:t>
      </w:r>
      <w:r w:rsidRPr="006D2E71">
        <w:rPr>
          <w:rFonts w:ascii="Times New Roman" w:eastAsia="Calibri" w:hAnsi="Times New Roman" w:cs="Times New Roman"/>
          <w:i/>
          <w:sz w:val="24"/>
          <w:szCs w:val="24"/>
          <w:vertAlign w:val="superscript"/>
        </w:rPr>
        <w:footnoteReference w:id="3"/>
      </w:r>
      <w:r w:rsidRPr="006D2E71">
        <w:rPr>
          <w:rFonts w:ascii="Times New Roman" w:eastAsia="Calibri" w:hAnsi="Times New Roman" w:cs="Times New Roman"/>
          <w:i/>
          <w:sz w:val="24"/>
          <w:szCs w:val="24"/>
        </w:rPr>
        <w:t>controlled substances to meet scientific and research goals.</w:t>
      </w:r>
    </w:p>
    <w:p w14:paraId="436A3001" w14:textId="77777777" w:rsidR="006D2E71" w:rsidRPr="006D2E71" w:rsidRDefault="006D2E71" w:rsidP="006D2E71">
      <w:pPr>
        <w:spacing w:after="0" w:line="240" w:lineRule="auto"/>
        <w:ind w:left="-720"/>
        <w:jc w:val="both"/>
        <w:rPr>
          <w:rFonts w:ascii="Times New Roman" w:eastAsia="Calibri" w:hAnsi="Times New Roman" w:cs="Times New Roman"/>
          <w:i/>
          <w:sz w:val="24"/>
          <w:szCs w:val="24"/>
        </w:rPr>
      </w:pPr>
    </w:p>
    <w:p w14:paraId="5BC06782" w14:textId="77777777" w:rsidR="006D2E71" w:rsidRPr="006D2E71" w:rsidRDefault="006D2E71" w:rsidP="006D2E71">
      <w:pPr>
        <w:spacing w:after="0" w:line="240" w:lineRule="auto"/>
        <w:ind w:left="-720"/>
        <w:rPr>
          <w:rFonts w:ascii="Times New Roman" w:eastAsia="Calibri" w:hAnsi="Times New Roman" w:cs="Times New Roman"/>
          <w:sz w:val="24"/>
        </w:rPr>
      </w:pPr>
      <w:r w:rsidRPr="007B1149">
        <w:rPr>
          <w:rFonts w:ascii="Times New Roman" w:eastAsia="Calibri" w:hAnsi="Times New Roman" w:cs="Times New Roman"/>
          <w:b/>
          <w:i/>
          <w:sz w:val="24"/>
          <w:u w:val="single"/>
        </w:rPr>
        <w:t>Guide for the Care and Use of Laboratory Animals</w:t>
      </w:r>
      <w:r w:rsidRPr="006D2E71">
        <w:rPr>
          <w:rFonts w:ascii="Times New Roman" w:eastAsia="Calibri" w:hAnsi="Times New Roman" w:cs="Times New Roman"/>
          <w:sz w:val="24"/>
        </w:rPr>
        <w:t>; Eighth edition:</w:t>
      </w:r>
    </w:p>
    <w:p w14:paraId="7F4FDB90" w14:textId="77777777" w:rsidR="006D2E71" w:rsidRPr="007B1149" w:rsidRDefault="006D2E71" w:rsidP="006D2E71">
      <w:pPr>
        <w:spacing w:after="0" w:line="240" w:lineRule="auto"/>
        <w:jc w:val="both"/>
        <w:rPr>
          <w:rFonts w:ascii="Times New Roman" w:eastAsia="Calibri" w:hAnsi="Times New Roman" w:cs="Times New Roman"/>
          <w:sz w:val="20"/>
        </w:rPr>
      </w:pPr>
      <w:r w:rsidRPr="006D2E71">
        <w:rPr>
          <w:rFonts w:ascii="Times New Roman" w:eastAsia="Calibri" w:hAnsi="Times New Roman" w:cs="Times New Roman"/>
          <w:sz w:val="24"/>
        </w:rPr>
        <w:t>“</w:t>
      </w:r>
      <w:r w:rsidRPr="006D2E71">
        <w:rPr>
          <w:rFonts w:ascii="Times New Roman" w:eastAsia="Calibri" w:hAnsi="Times New Roman" w:cs="Times New Roman"/>
          <w:i/>
          <w:sz w:val="24"/>
        </w:rPr>
        <w:t>The use of pharmaceutical-grade chemicals and other substances ensures that toxic and unwanted side effects are not introduced into studies conducted with experimental animals.  They should therefore be used, when available, for all animal-related procedures.  The use of non-pharmaceutical –grade chemicals or substances should be described and justified in the animal use protocol and be approved by the IACUC; for example, the use of non –pharmaceutical-grade chemicals of substance may be necessary to meet the scientific goals of a project when a veterinary or human pharmaceutical-grade product is unavailable.”</w:t>
      </w:r>
      <w:r w:rsidR="007B1149">
        <w:rPr>
          <w:rFonts w:ascii="Times New Roman" w:eastAsia="Calibri" w:hAnsi="Times New Roman" w:cs="Times New Roman"/>
          <w:i/>
          <w:sz w:val="24"/>
        </w:rPr>
        <w:t xml:space="preserve"> </w:t>
      </w:r>
      <w:r w:rsidR="007B1149">
        <w:rPr>
          <w:rFonts w:ascii="Times New Roman" w:eastAsia="Calibri" w:hAnsi="Times New Roman" w:cs="Times New Roman"/>
          <w:sz w:val="24"/>
        </w:rPr>
        <w:t>pp. 31</w:t>
      </w:r>
    </w:p>
    <w:p w14:paraId="35A70E63" w14:textId="77777777" w:rsidR="006D2E71" w:rsidRPr="006D2E71" w:rsidRDefault="006D2E71" w:rsidP="006D2E71">
      <w:pPr>
        <w:spacing w:after="0" w:line="240" w:lineRule="auto"/>
        <w:ind w:left="-720"/>
        <w:rPr>
          <w:rFonts w:ascii="Times New Roman" w:eastAsia="Calibri" w:hAnsi="Times New Roman" w:cs="Times New Roman"/>
          <w:sz w:val="24"/>
        </w:rPr>
      </w:pPr>
    </w:p>
    <w:p w14:paraId="64DFB52B" w14:textId="77777777" w:rsidR="006D2E71" w:rsidRPr="007B1149" w:rsidRDefault="006D2E71" w:rsidP="006D2E71">
      <w:pPr>
        <w:spacing w:after="0" w:line="240" w:lineRule="auto"/>
        <w:rPr>
          <w:rFonts w:ascii="Times New Roman" w:eastAsia="Calibri" w:hAnsi="Times New Roman" w:cs="Times New Roman"/>
          <w:sz w:val="24"/>
        </w:rPr>
      </w:pPr>
      <w:r w:rsidRPr="007B1149">
        <w:rPr>
          <w:rFonts w:ascii="Times New Roman" w:eastAsia="Calibri" w:hAnsi="Times New Roman" w:cs="Times New Roman"/>
          <w:sz w:val="24"/>
        </w:rPr>
        <w:t>Please refer to the following documents for guidance when considering the use of Non-Pharmaceutical-Grade compounds in your experiments</w:t>
      </w:r>
    </w:p>
    <w:p w14:paraId="75361E37" w14:textId="77777777" w:rsidR="006D2E71" w:rsidRPr="006D2E71" w:rsidRDefault="006D2E71" w:rsidP="006D2E71">
      <w:pPr>
        <w:spacing w:after="0" w:line="240" w:lineRule="auto"/>
        <w:rPr>
          <w:rFonts w:ascii="Times New Roman" w:eastAsia="Calibri" w:hAnsi="Times New Roman" w:cs="Times New Roman"/>
          <w:i/>
          <w:sz w:val="24"/>
        </w:rPr>
      </w:pPr>
    </w:p>
    <w:p w14:paraId="38321DE4" w14:textId="77777777" w:rsidR="006D2E71" w:rsidRPr="006D2E71" w:rsidRDefault="00763AC0" w:rsidP="006D2E71">
      <w:pPr>
        <w:numPr>
          <w:ilvl w:val="0"/>
          <w:numId w:val="2"/>
        </w:num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contextualSpacing/>
        <w:textAlignment w:val="baseline"/>
        <w:rPr>
          <w:rFonts w:ascii="Times New Roman" w:eastAsia="Calibri" w:hAnsi="Times New Roman" w:cs="Times New Roman"/>
          <w:sz w:val="24"/>
        </w:rPr>
      </w:pPr>
      <w:hyperlink r:id="rId10" w:history="1">
        <w:r w:rsidR="006D2E71" w:rsidRPr="006D2E71">
          <w:rPr>
            <w:rFonts w:ascii="Times New Roman" w:eastAsia="Calibri" w:hAnsi="Times New Roman" w:cs="Times New Roman"/>
            <w:color w:val="0000FF"/>
            <w:sz w:val="24"/>
            <w:u w:val="single"/>
          </w:rPr>
          <w:t xml:space="preserve">Use of Non-Pharmaceutical-Grade Chemicals and Other Substances in Research </w:t>
        </w:r>
        <w:proofErr w:type="gramStart"/>
        <w:r w:rsidR="006D2E71" w:rsidRPr="006D2E71">
          <w:rPr>
            <w:rFonts w:ascii="Times New Roman" w:eastAsia="Calibri" w:hAnsi="Times New Roman" w:cs="Times New Roman"/>
            <w:color w:val="0000FF"/>
            <w:sz w:val="24"/>
            <w:u w:val="single"/>
          </w:rPr>
          <w:t>With</w:t>
        </w:r>
        <w:proofErr w:type="gramEnd"/>
        <w:r w:rsidR="006D2E71" w:rsidRPr="006D2E71">
          <w:rPr>
            <w:rFonts w:ascii="Times New Roman" w:eastAsia="Calibri" w:hAnsi="Times New Roman" w:cs="Times New Roman"/>
            <w:color w:val="0000FF"/>
            <w:sz w:val="24"/>
            <w:u w:val="single"/>
          </w:rPr>
          <w:t xml:space="preserve"> Animals.</w:t>
        </w:r>
      </w:hyperlink>
      <w:r w:rsidR="006D2E71" w:rsidRPr="006D2E71">
        <w:rPr>
          <w:rFonts w:ascii="Times New Roman" w:eastAsia="Calibri" w:hAnsi="Times New Roman" w:cs="Times New Roman"/>
          <w:sz w:val="24"/>
        </w:rPr>
        <w:t xml:space="preserve"> Webinar slide presentation from OLAW, USDA, and AAALAC.  </w:t>
      </w:r>
    </w:p>
    <w:p w14:paraId="75B17BAE" w14:textId="77777777" w:rsidR="006D2E71" w:rsidRPr="006D2E71" w:rsidRDefault="00763AC0" w:rsidP="006D2E71">
      <w:pPr>
        <w:numPr>
          <w:ilvl w:val="0"/>
          <w:numId w:val="2"/>
        </w:num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contextualSpacing/>
        <w:textAlignment w:val="baseline"/>
        <w:rPr>
          <w:rFonts w:ascii="Times New Roman" w:eastAsia="Calibri" w:hAnsi="Times New Roman" w:cs="Times New Roman"/>
          <w:sz w:val="24"/>
        </w:rPr>
      </w:pPr>
      <w:hyperlink r:id="rId11" w:history="1">
        <w:r w:rsidR="006D2E71" w:rsidRPr="006D2E71">
          <w:rPr>
            <w:rFonts w:ascii="Times New Roman" w:eastAsia="Calibri" w:hAnsi="Times New Roman" w:cs="Times New Roman"/>
            <w:color w:val="0000FF"/>
            <w:sz w:val="24"/>
            <w:u w:val="single"/>
          </w:rPr>
          <w:t>Examples for Use of Non-Pharmaceutical-Grade Substances</w:t>
        </w:r>
      </w:hyperlink>
    </w:p>
    <w:p w14:paraId="34E2C9D5" w14:textId="77777777" w:rsidR="006D2E71" w:rsidRDefault="006D2E71" w:rsidP="006D2E71">
      <w:pPr>
        <w:spacing w:after="0" w:line="240" w:lineRule="auto"/>
        <w:ind w:left="-720"/>
        <w:rPr>
          <w:rFonts w:ascii="Times New Roman" w:eastAsia="Calibri" w:hAnsi="Times New Roman" w:cs="Times New Roman"/>
          <w:sz w:val="16"/>
        </w:rPr>
      </w:pPr>
    </w:p>
    <w:p w14:paraId="7B65C186" w14:textId="77777777" w:rsidR="006D2E71" w:rsidRPr="006D2E71" w:rsidRDefault="006D2E71" w:rsidP="006D2E71">
      <w:pPr>
        <w:spacing w:after="0" w:line="240" w:lineRule="auto"/>
        <w:ind w:left="-720"/>
        <w:rPr>
          <w:rFonts w:ascii="Times New Roman" w:eastAsia="Calibri" w:hAnsi="Times New Roman" w:cs="Times New Roman"/>
          <w:sz w:val="16"/>
        </w:rPr>
      </w:pPr>
      <w:r w:rsidRPr="006D2E71">
        <w:rPr>
          <w:rFonts w:ascii="Times New Roman" w:eastAsia="Calibri" w:hAnsi="Times New Roman" w:cs="Times New Roman"/>
          <w:sz w:val="16"/>
        </w:rPr>
        <w:t>OLAW FAQ website on the use on Non-pharmaceutical grade compounds</w:t>
      </w:r>
    </w:p>
    <w:p w14:paraId="09BE2705" w14:textId="77777777" w:rsidR="006D2E71" w:rsidRPr="006D2E71" w:rsidRDefault="00763AC0" w:rsidP="006D2E71">
      <w:pPr>
        <w:spacing w:after="0" w:line="240" w:lineRule="auto"/>
        <w:ind w:left="-720"/>
        <w:rPr>
          <w:rFonts w:ascii="Times New Roman" w:eastAsia="Calibri" w:hAnsi="Times New Roman" w:cs="Times New Roman"/>
          <w:sz w:val="16"/>
        </w:rPr>
      </w:pPr>
      <w:hyperlink r:id="rId12" w:anchor="useandmgmt_4" w:history="1">
        <w:r w:rsidR="006D2E71" w:rsidRPr="006D2E71">
          <w:rPr>
            <w:rFonts w:ascii="Times New Roman" w:eastAsia="Calibri" w:hAnsi="Times New Roman" w:cs="Times New Roman"/>
            <w:color w:val="0000FF"/>
            <w:sz w:val="16"/>
            <w:u w:val="single"/>
          </w:rPr>
          <w:t>http://grants.nih.gov/grants/olaw/faqs.htm#useandmgmt_4</w:t>
        </w:r>
      </w:hyperlink>
      <w:r w:rsidR="006D2E71" w:rsidRPr="006D2E71">
        <w:rPr>
          <w:rFonts w:ascii="Times New Roman" w:eastAsia="Calibri" w:hAnsi="Times New Roman" w:cs="Times New Roman"/>
          <w:sz w:val="16"/>
        </w:rPr>
        <w:t xml:space="preserve"> </w:t>
      </w:r>
      <w:r w:rsidR="006D2E71" w:rsidRPr="006D2E71">
        <w:rPr>
          <w:rFonts w:ascii="Times New Roman" w:eastAsia="Calibri" w:hAnsi="Times New Roman" w:cs="Times New Roman"/>
          <w:sz w:val="16"/>
          <w:vertAlign w:val="superscript"/>
        </w:rPr>
        <w:footnoteReference w:id="4"/>
      </w:r>
    </w:p>
    <w:p w14:paraId="5EEBAFAD" w14:textId="77777777" w:rsidR="006D2E71" w:rsidRPr="006D2E71" w:rsidRDefault="006D2E71" w:rsidP="006D2E71">
      <w:pPr>
        <w:spacing w:after="0" w:line="240" w:lineRule="auto"/>
        <w:ind w:left="-720"/>
        <w:rPr>
          <w:rFonts w:ascii="Times New Roman" w:eastAsia="Calibri" w:hAnsi="Times New Roman" w:cs="Times New Roman"/>
          <w:sz w:val="16"/>
        </w:rPr>
      </w:pPr>
    </w:p>
    <w:p w14:paraId="12BF56EB" w14:textId="77777777" w:rsidR="006D2E71" w:rsidRPr="006D2E71" w:rsidRDefault="006D2E71" w:rsidP="006D2E71">
      <w:pPr>
        <w:spacing w:after="0" w:line="240" w:lineRule="auto"/>
        <w:ind w:left="-720"/>
        <w:rPr>
          <w:rFonts w:ascii="Times New Roman" w:eastAsia="Calibri" w:hAnsi="Times New Roman" w:cs="Times New Roman"/>
          <w:sz w:val="16"/>
        </w:rPr>
      </w:pPr>
      <w:r w:rsidRPr="006D2E71">
        <w:rPr>
          <w:rFonts w:ascii="Times New Roman" w:eastAsia="Calibri" w:hAnsi="Times New Roman" w:cs="Times New Roman"/>
          <w:sz w:val="16"/>
        </w:rPr>
        <w:t xml:space="preserve">Guide for the Care and Use of Laboratory Animals </w:t>
      </w:r>
    </w:p>
    <w:p w14:paraId="51762B65" w14:textId="77777777" w:rsidR="00566E1F" w:rsidRDefault="006D2E71" w:rsidP="006D2E71">
      <w:pPr>
        <w:spacing w:after="0" w:line="240" w:lineRule="auto"/>
        <w:ind w:left="-720"/>
        <w:rPr>
          <w:rFonts w:ascii="Times New Roman" w:eastAsia="Calibri" w:hAnsi="Times New Roman" w:cs="Times New Roman"/>
          <w:sz w:val="16"/>
        </w:rPr>
      </w:pPr>
      <w:r w:rsidRPr="006D2E71">
        <w:rPr>
          <w:rFonts w:ascii="Times New Roman" w:eastAsia="Calibri" w:hAnsi="Times New Roman" w:cs="Times New Roman"/>
          <w:sz w:val="16"/>
        </w:rPr>
        <w:t xml:space="preserve">Eighth Edition </w:t>
      </w:r>
      <w:r>
        <w:rPr>
          <w:rFonts w:ascii="Times New Roman" w:eastAsia="Calibri" w:hAnsi="Times New Roman" w:cs="Times New Roman"/>
          <w:sz w:val="16"/>
        </w:rPr>
        <w:t>Page 31</w:t>
      </w:r>
    </w:p>
    <w:p w14:paraId="3D6B9A1B" w14:textId="77777777" w:rsidR="00C105FB" w:rsidRDefault="00712407" w:rsidP="006D2E71">
      <w:pPr>
        <w:spacing w:after="0" w:line="240" w:lineRule="auto"/>
        <w:ind w:left="-720"/>
      </w:pPr>
      <w:proofErr w:type="spellStart"/>
      <w:r>
        <w:rPr>
          <w:rFonts w:ascii="Times New Roman" w:eastAsia="Calibri" w:hAnsi="Times New Roman" w:cs="Times New Roman"/>
          <w:sz w:val="16"/>
        </w:rPr>
        <w:t>Apprv</w:t>
      </w:r>
      <w:proofErr w:type="spellEnd"/>
      <w:r>
        <w:rPr>
          <w:rFonts w:ascii="Times New Roman" w:eastAsia="Calibri" w:hAnsi="Times New Roman" w:cs="Times New Roman"/>
          <w:sz w:val="16"/>
        </w:rPr>
        <w:t>: 1/22/2016</w:t>
      </w:r>
    </w:p>
    <w:sectPr w:rsidR="00C105FB" w:rsidSect="006D2E71">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E8562" w14:textId="77777777" w:rsidR="00763AC0" w:rsidRDefault="00763AC0" w:rsidP="006D2E71">
      <w:pPr>
        <w:spacing w:after="0" w:line="240" w:lineRule="auto"/>
      </w:pPr>
      <w:r>
        <w:separator/>
      </w:r>
    </w:p>
  </w:endnote>
  <w:endnote w:type="continuationSeparator" w:id="0">
    <w:p w14:paraId="37C186F4" w14:textId="77777777" w:rsidR="00763AC0" w:rsidRDefault="00763AC0" w:rsidP="006D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C7F61" w14:textId="77777777" w:rsidR="00763AC0" w:rsidRDefault="00763AC0" w:rsidP="006D2E71">
      <w:pPr>
        <w:spacing w:after="0" w:line="240" w:lineRule="auto"/>
      </w:pPr>
      <w:r>
        <w:separator/>
      </w:r>
    </w:p>
  </w:footnote>
  <w:footnote w:type="continuationSeparator" w:id="0">
    <w:p w14:paraId="6CE24C20" w14:textId="77777777" w:rsidR="00763AC0" w:rsidRDefault="00763AC0" w:rsidP="006D2E71">
      <w:pPr>
        <w:spacing w:after="0" w:line="240" w:lineRule="auto"/>
      </w:pPr>
      <w:r>
        <w:continuationSeparator/>
      </w:r>
    </w:p>
  </w:footnote>
  <w:footnote w:id="1">
    <w:p w14:paraId="7C8B5A26" w14:textId="77777777" w:rsidR="006D2E71" w:rsidRPr="00A702B6" w:rsidRDefault="006D2E71" w:rsidP="006D2E71">
      <w:pPr>
        <w:pStyle w:val="FootnoteText"/>
        <w:rPr>
          <w:sz w:val="14"/>
        </w:rPr>
      </w:pPr>
    </w:p>
  </w:footnote>
  <w:footnote w:id="2">
    <w:p w14:paraId="090E68E2" w14:textId="77777777" w:rsidR="006D2E71" w:rsidRPr="00A702B6" w:rsidRDefault="006D2E71" w:rsidP="006D2E71">
      <w:pPr>
        <w:pStyle w:val="FootnoteText"/>
        <w:rPr>
          <w:sz w:val="14"/>
        </w:rPr>
      </w:pPr>
    </w:p>
  </w:footnote>
  <w:footnote w:id="3">
    <w:p w14:paraId="08DA49FF" w14:textId="77777777" w:rsidR="006D2E71" w:rsidRDefault="006D2E71" w:rsidP="006D2E71">
      <w:pPr>
        <w:pStyle w:val="FootnoteText"/>
      </w:pPr>
    </w:p>
  </w:footnote>
  <w:footnote w:id="4">
    <w:p w14:paraId="39556F57" w14:textId="77777777" w:rsidR="006D2E71" w:rsidRPr="00A702B6" w:rsidRDefault="006D2E71" w:rsidP="006D2E71">
      <w:pPr>
        <w:pStyle w:val="FootnoteText"/>
        <w:rPr>
          <w:sz w:val="14"/>
        </w:rPr>
      </w:pPr>
      <w:r>
        <w:rPr>
          <w:rStyle w:val="FootnoteReference"/>
        </w:rPr>
        <w:t>1</w:t>
      </w:r>
      <w:r>
        <w:t xml:space="preserve"> </w:t>
      </w:r>
      <w:r w:rsidRPr="00A702B6">
        <w:rPr>
          <w:sz w:val="16"/>
          <w:szCs w:val="22"/>
        </w:rPr>
        <w:t xml:space="preserve">A pharmaceutical grade compound is a drug, biologic, or reagent that is approved by the Food and Drug Administration (FDA) or for which a chemical purity standard has been established by the </w:t>
      </w:r>
      <w:hyperlink r:id="rId1" w:history="1">
        <w:r w:rsidRPr="00A702B6">
          <w:rPr>
            <w:color w:val="0000FF"/>
            <w:sz w:val="16"/>
            <w:szCs w:val="22"/>
            <w:u w:val="single"/>
          </w:rPr>
          <w:t>United States Pharmacopeia-National Formulary</w:t>
        </w:r>
      </w:hyperlink>
      <w:r w:rsidRPr="00A702B6">
        <w:rPr>
          <w:sz w:val="16"/>
          <w:szCs w:val="22"/>
        </w:rPr>
        <w:t xml:space="preserve"> (</w:t>
      </w:r>
      <w:hyperlink r:id="rId2" w:history="1">
        <w:r w:rsidRPr="00A702B6">
          <w:rPr>
            <w:color w:val="0000FF"/>
            <w:sz w:val="16"/>
            <w:szCs w:val="22"/>
            <w:u w:val="single"/>
          </w:rPr>
          <w:t>USP-NF</w:t>
        </w:r>
      </w:hyperlink>
      <w:r w:rsidRPr="00A702B6">
        <w:rPr>
          <w:sz w:val="16"/>
          <w:szCs w:val="22"/>
        </w:rPr>
        <w:t xml:space="preserve">), or </w:t>
      </w:r>
      <w:hyperlink r:id="rId3" w:history="1">
        <w:r w:rsidRPr="00A702B6">
          <w:rPr>
            <w:color w:val="0000FF"/>
            <w:sz w:val="16"/>
            <w:szCs w:val="22"/>
            <w:u w:val="single"/>
          </w:rPr>
          <w:t>British Pharmacopeia</w:t>
        </w:r>
      </w:hyperlink>
      <w:r w:rsidRPr="00A702B6">
        <w:rPr>
          <w:sz w:val="16"/>
          <w:szCs w:val="22"/>
        </w:rPr>
        <w:t xml:space="preserve"> (</w:t>
      </w:r>
      <w:hyperlink r:id="rId4" w:history="1">
        <w:r w:rsidRPr="00A702B6">
          <w:rPr>
            <w:color w:val="0000FF"/>
            <w:sz w:val="16"/>
            <w:szCs w:val="22"/>
            <w:u w:val="single"/>
          </w:rPr>
          <w:t>BP</w:t>
        </w:r>
      </w:hyperlink>
      <w:r w:rsidRPr="00A702B6">
        <w:rPr>
          <w:sz w:val="16"/>
          <w:szCs w:val="22"/>
        </w:rPr>
        <w:t>).</w:t>
      </w:r>
    </w:p>
    <w:p w14:paraId="1D9D1CD2" w14:textId="77777777" w:rsidR="006D2E71" w:rsidRPr="00A702B6" w:rsidRDefault="006D2E71" w:rsidP="006D2E71">
      <w:pPr>
        <w:pStyle w:val="FootnoteText"/>
        <w:rPr>
          <w:sz w:val="14"/>
        </w:rPr>
      </w:pPr>
      <w:proofErr w:type="gramStart"/>
      <w:r>
        <w:rPr>
          <w:sz w:val="16"/>
          <w:szCs w:val="22"/>
          <w:vertAlign w:val="superscript"/>
        </w:rPr>
        <w:t xml:space="preserve">2  </w:t>
      </w:r>
      <w:r w:rsidRPr="00A702B6">
        <w:rPr>
          <w:sz w:val="16"/>
          <w:szCs w:val="22"/>
        </w:rPr>
        <w:t>Veterinary</w:t>
      </w:r>
      <w:proofErr w:type="gramEnd"/>
      <w:r w:rsidRPr="00A702B6">
        <w:rPr>
          <w:sz w:val="16"/>
          <w:szCs w:val="22"/>
        </w:rPr>
        <w:t xml:space="preserve"> compounding is the customized manipulation of an approved drug by a veterinarian, or by a pharmacist upon the prescription of a veterinarian, to meet the needs of a research study. IACUCs considering the use of veterinary compounding for research purposes are advised to consult:  </w:t>
      </w:r>
      <w:hyperlink r:id="rId5" w:history="1">
        <w:r w:rsidRPr="00A702B6">
          <w:rPr>
            <w:color w:val="0000FF"/>
            <w:sz w:val="16"/>
            <w:szCs w:val="22"/>
            <w:u w:val="single"/>
          </w:rPr>
          <w:t>http://www.avma.org/issues/drugs/compounding/veterinary_compounding_brochure.asp</w:t>
        </w:r>
      </w:hyperlink>
      <w:r w:rsidRPr="00A702B6">
        <w:rPr>
          <w:sz w:val="16"/>
          <w:szCs w:val="22"/>
        </w:rPr>
        <w:t xml:space="preserve"> for more information about federal regulations.</w:t>
      </w:r>
    </w:p>
    <w:p w14:paraId="2F677151" w14:textId="77777777" w:rsidR="006D2E71" w:rsidRDefault="006D2E71" w:rsidP="006D2E71">
      <w:pPr>
        <w:pStyle w:val="FootnoteText"/>
      </w:pPr>
      <w:r>
        <w:rPr>
          <w:sz w:val="16"/>
          <w:szCs w:val="22"/>
          <w:vertAlign w:val="superscript"/>
        </w:rPr>
        <w:t xml:space="preserve">3 </w:t>
      </w:r>
      <w:r w:rsidRPr="00A702B6">
        <w:rPr>
          <w:sz w:val="16"/>
          <w:szCs w:val="22"/>
        </w:rPr>
        <w:t xml:space="preserve">United States Department of Justice Drug Enforcement Agency controlled substances Schedule I and II-IV drugs may be used in biomedical research according to the standards of the </w:t>
      </w:r>
      <w:hyperlink r:id="rId6" w:history="1">
        <w:r w:rsidRPr="00A702B6">
          <w:rPr>
            <w:color w:val="0000FF"/>
            <w:sz w:val="16"/>
            <w:szCs w:val="22"/>
            <w:u w:val="single"/>
          </w:rPr>
          <w:t>Code of Federal Regulations 1301.13</w:t>
        </w:r>
      </w:hyperlink>
      <w:r w:rsidRPr="00A702B6">
        <w:rPr>
          <w:sz w:val="16"/>
          <w:szCs w:val="22"/>
        </w:rPr>
        <w:t>.</w:t>
      </w:r>
    </w:p>
    <w:p w14:paraId="2E72FFC7" w14:textId="77777777" w:rsidR="006D2E71" w:rsidRDefault="006D2E71" w:rsidP="006D2E7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91CFB" w14:textId="77777777" w:rsidR="006D2E71" w:rsidRDefault="006D2E71">
    <w:pPr>
      <w:pStyle w:val="Header"/>
    </w:pPr>
    <w:r>
      <w:rPr>
        <w:noProof/>
      </w:rPr>
      <w:drawing>
        <wp:anchor distT="0" distB="0" distL="114300" distR="114300" simplePos="0" relativeHeight="251658240" behindDoc="0" locked="0" layoutInCell="0" allowOverlap="1" wp14:anchorId="51680C2B" wp14:editId="1FA79EFF">
          <wp:simplePos x="0" y="0"/>
          <wp:positionH relativeFrom="page">
            <wp:posOffset>731520</wp:posOffset>
          </wp:positionH>
          <wp:positionV relativeFrom="page">
            <wp:posOffset>731520</wp:posOffset>
          </wp:positionV>
          <wp:extent cx="2019300" cy="584200"/>
          <wp:effectExtent l="0" t="0" r="0" b="6350"/>
          <wp:wrapSquare wrapText="bothSides"/>
          <wp:docPr id="1" name="Picture 1" descr="letrhed_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rhed_3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724C2"/>
    <w:multiLevelType w:val="hybridMultilevel"/>
    <w:tmpl w:val="E1DA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C09D4"/>
    <w:multiLevelType w:val="hybridMultilevel"/>
    <w:tmpl w:val="A7BA325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ABF2A2E"/>
    <w:multiLevelType w:val="hybridMultilevel"/>
    <w:tmpl w:val="D102EB58"/>
    <w:lvl w:ilvl="0" w:tplc="0409000F">
      <w:start w:val="1"/>
      <w:numFmt w:val="decimal"/>
      <w:lvlText w:val="%1."/>
      <w:lvlJc w:val="left"/>
      <w:pPr>
        <w:ind w:left="0" w:hanging="360"/>
      </w:pPr>
      <w:rPr>
        <w:rFonts w:hint="default"/>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6C344FCF"/>
    <w:multiLevelType w:val="hybridMultilevel"/>
    <w:tmpl w:val="750E1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E71"/>
    <w:rsid w:val="000706B6"/>
    <w:rsid w:val="00566E1F"/>
    <w:rsid w:val="006D2E71"/>
    <w:rsid w:val="007039E1"/>
    <w:rsid w:val="00712407"/>
    <w:rsid w:val="00763AC0"/>
    <w:rsid w:val="007B1149"/>
    <w:rsid w:val="00983A7A"/>
    <w:rsid w:val="00A63EC2"/>
    <w:rsid w:val="00C105FB"/>
    <w:rsid w:val="00E873D2"/>
    <w:rsid w:val="00F20AFE"/>
    <w:rsid w:val="00FB08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4:docId w14:val="023997DF"/>
  <w15:docId w15:val="{08CD1F77-6266-4888-8C25-9FB82E64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D2E71"/>
    <w:pPr>
      <w:keepNext/>
      <w:framePr w:w="7070" w:h="576" w:hRule="exact" w:hSpace="187" w:wrap="notBeside" w:vAnchor="page" w:hAnchor="page" w:x="2161" w:y="2305"/>
      <w:tabs>
        <w:tab w:val="left" w:pos="720"/>
        <w:tab w:val="left" w:pos="1440"/>
        <w:tab w:val="left" w:pos="2160"/>
        <w:tab w:val="left" w:pos="2880"/>
        <w:tab w:val="right" w:pos="4968"/>
        <w:tab w:val="right" w:pos="6408"/>
        <w:tab w:val="left" w:pos="7020"/>
        <w:tab w:val="right" w:pos="7848"/>
      </w:tabs>
      <w:overflowPunct w:val="0"/>
      <w:autoSpaceDE w:val="0"/>
      <w:autoSpaceDN w:val="0"/>
      <w:adjustRightInd w:val="0"/>
      <w:spacing w:after="0" w:line="240" w:lineRule="auto"/>
      <w:textAlignment w:val="baseline"/>
      <w:outlineLvl w:val="0"/>
    </w:pPr>
    <w:rPr>
      <w:rFonts w:ascii="Garamond" w:eastAsia="Times New Roman" w:hAnsi="Garamon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2E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E71"/>
    <w:rPr>
      <w:sz w:val="20"/>
      <w:szCs w:val="20"/>
    </w:rPr>
  </w:style>
  <w:style w:type="character" w:styleId="FootnoteReference">
    <w:name w:val="footnote reference"/>
    <w:uiPriority w:val="99"/>
    <w:unhideWhenUsed/>
    <w:rsid w:val="006D2E71"/>
    <w:rPr>
      <w:vertAlign w:val="superscript"/>
    </w:rPr>
  </w:style>
  <w:style w:type="paragraph" w:styleId="Header">
    <w:name w:val="header"/>
    <w:basedOn w:val="Normal"/>
    <w:link w:val="HeaderChar"/>
    <w:uiPriority w:val="99"/>
    <w:unhideWhenUsed/>
    <w:rsid w:val="006D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E71"/>
  </w:style>
  <w:style w:type="paragraph" w:styleId="Footer">
    <w:name w:val="footer"/>
    <w:basedOn w:val="Normal"/>
    <w:link w:val="FooterChar"/>
    <w:uiPriority w:val="99"/>
    <w:unhideWhenUsed/>
    <w:rsid w:val="006D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E71"/>
  </w:style>
  <w:style w:type="character" w:customStyle="1" w:styleId="Heading1Char">
    <w:name w:val="Heading 1 Char"/>
    <w:basedOn w:val="DefaultParagraphFont"/>
    <w:link w:val="Heading1"/>
    <w:rsid w:val="006D2E71"/>
    <w:rPr>
      <w:rFonts w:ascii="Garamond" w:eastAsia="Times New Roman" w:hAnsi="Garamond" w:cs="Times New Roman"/>
      <w:b/>
      <w:sz w:val="24"/>
      <w:szCs w:val="20"/>
    </w:rPr>
  </w:style>
  <w:style w:type="paragraph" w:styleId="BalloonText">
    <w:name w:val="Balloon Text"/>
    <w:basedOn w:val="Normal"/>
    <w:link w:val="BalloonTextChar"/>
    <w:uiPriority w:val="99"/>
    <w:semiHidden/>
    <w:unhideWhenUsed/>
    <w:rsid w:val="0071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rants.nih.gov/grants/olaw/faq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quette.edu/researchcompliance/research/IACUCInformation.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arquette.edu/researchcompliance/research/IACUCInformation.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harmacopoeia.co.uk/" TargetMode="External"/><Relationship Id="rId2" Type="http://schemas.openxmlformats.org/officeDocument/2006/relationships/hyperlink" Target="http://www.uspnf.com/uspnf/login" TargetMode="External"/><Relationship Id="rId1" Type="http://schemas.openxmlformats.org/officeDocument/2006/relationships/hyperlink" Target="http://www.uspnf.com/uspnf/login" TargetMode="External"/><Relationship Id="rId6" Type="http://schemas.openxmlformats.org/officeDocument/2006/relationships/hyperlink" Target="http://www.deadiversion.usdoj.gov/21cfr/cfr/1301/1301_13.htm" TargetMode="External"/><Relationship Id="rId5" Type="http://schemas.openxmlformats.org/officeDocument/2006/relationships/hyperlink" Target="http://www.avma.org/issues/drugs/compounding/veterinary_compounding_brochure.asp" TargetMode="External"/><Relationship Id="rId4" Type="http://schemas.openxmlformats.org/officeDocument/2006/relationships/hyperlink" Target="http://www.pharmacopoei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2" ma:contentTypeDescription="Create a new document." ma:contentTypeScope="" ma:versionID="fad3de71e77d58392f2f560bb58983b4">
  <xsd:schema xmlns:xsd="http://www.w3.org/2001/XMLSchema" xmlns:xs="http://www.w3.org/2001/XMLSchema" xmlns:p="http://schemas.microsoft.com/office/2006/metadata/properties" xmlns:ns2="3f37ac6c-3c02-47b7-be39-29a4d2c95bd7" targetNamespace="http://schemas.microsoft.com/office/2006/metadata/properties" ma:root="true" ma:fieldsID="d7f125da1cbbfd6590546ee5339e51bd" ns2:_="">
    <xsd:import namespace="3f37ac6c-3c02-47b7-be39-29a4d2c95bd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9E43E-FF4E-4028-9E49-D0D788A38C14}">
  <ds:schemaRefs>
    <ds:schemaRef ds:uri="http://schemas.microsoft.com/sharepoint/v3/contenttype/forms"/>
  </ds:schemaRefs>
</ds:datastoreItem>
</file>

<file path=customXml/itemProps2.xml><?xml version="1.0" encoding="utf-8"?>
<ds:datastoreItem xmlns:ds="http://schemas.openxmlformats.org/officeDocument/2006/customXml" ds:itemID="{99FBEF72-8A61-4CC3-8384-B0EFA82D0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1251E9-EE15-4031-9B93-3FC3E663FC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Fritsch</dc:creator>
  <cp:lastModifiedBy>jhale288@gmail.com</cp:lastModifiedBy>
  <cp:revision>2</cp:revision>
  <cp:lastPrinted>2016-01-20T21:07:00Z</cp:lastPrinted>
  <dcterms:created xsi:type="dcterms:W3CDTF">2018-09-26T17:52:00Z</dcterms:created>
  <dcterms:modified xsi:type="dcterms:W3CDTF">2018-09-26T17:52:00Z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