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703623" w14:textId="3FD8533D" w:rsidR="001945B8" w:rsidRPr="00A5074C" w:rsidRDefault="001945B8" w:rsidP="001945B8">
      <w:pPr>
        <w:jc w:val="center"/>
        <w:rPr>
          <w:b/>
          <w:u w:val="single"/>
        </w:rPr>
      </w:pPr>
      <w:r>
        <w:rPr>
          <w:b/>
          <w:u w:val="single"/>
        </w:rPr>
        <w:t xml:space="preserve">Example </w:t>
      </w:r>
      <w:r>
        <w:rPr>
          <w:b/>
          <w:u w:val="single"/>
        </w:rPr>
        <w:t>Quantitative Literacy, Part B</w:t>
      </w:r>
      <w:r>
        <w:rPr>
          <w:b/>
          <w:u w:val="single"/>
        </w:rPr>
        <w:t xml:space="preserve"> </w:t>
      </w:r>
      <w:r w:rsidRPr="00A5074C">
        <w:rPr>
          <w:b/>
          <w:u w:val="single"/>
        </w:rPr>
        <w:t>Text for Syllabus</w:t>
      </w:r>
    </w:p>
    <w:p w14:paraId="74D98FF7" w14:textId="77777777" w:rsidR="001945B8" w:rsidRPr="00A5074C" w:rsidRDefault="001945B8" w:rsidP="001945B8">
      <w:r>
        <w:rPr>
          <w:noProof/>
        </w:rPr>
        <mc:AlternateContent>
          <mc:Choice Requires="wps">
            <w:drawing>
              <wp:anchor distT="45720" distB="45720" distL="114300" distR="114300" simplePos="0" relativeHeight="251659264" behindDoc="0" locked="0" layoutInCell="1" allowOverlap="1" wp14:anchorId="38E57A8E" wp14:editId="569B7526">
                <wp:simplePos x="0" y="0"/>
                <wp:positionH relativeFrom="margin">
                  <wp:posOffset>-107950</wp:posOffset>
                </wp:positionH>
                <wp:positionV relativeFrom="paragraph">
                  <wp:posOffset>258445</wp:posOffset>
                </wp:positionV>
                <wp:extent cx="6508750" cy="76581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7658100"/>
                        </a:xfrm>
                        <a:prstGeom prst="rect">
                          <a:avLst/>
                        </a:prstGeom>
                        <a:solidFill>
                          <a:schemeClr val="accent1">
                            <a:lumMod val="20000"/>
                            <a:lumOff val="80000"/>
                          </a:schemeClr>
                        </a:solidFill>
                        <a:ln w="9525">
                          <a:solidFill>
                            <a:srgbClr val="000000"/>
                          </a:solidFill>
                          <a:miter lim="800000"/>
                          <a:headEnd/>
                          <a:tailEnd/>
                        </a:ln>
                      </wps:spPr>
                      <wps:txbx>
                        <w:txbxContent>
                          <w:p w14:paraId="1892DD18" w14:textId="77777777" w:rsidR="001945B8" w:rsidRPr="00D77E3C" w:rsidRDefault="001945B8" w:rsidP="001945B8">
                            <w:pPr>
                              <w:shd w:val="clear" w:color="auto" w:fill="C1E4F5" w:themeFill="accent1" w:themeFillTint="33"/>
                              <w:rPr>
                                <w:rFonts w:cstheme="minorHAnsi"/>
                                <w:b/>
                              </w:rPr>
                            </w:pPr>
                            <w:r w:rsidRPr="00D77E3C">
                              <w:rPr>
                                <w:rFonts w:cstheme="minorHAnsi"/>
                                <w:b/>
                              </w:rPr>
                              <w:t>GER Statement: Learning Outcomes for this Course</w:t>
                            </w:r>
                          </w:p>
                          <w:p w14:paraId="55389CB0" w14:textId="6539E2B1" w:rsidR="001945B8" w:rsidRPr="00D77E3C" w:rsidRDefault="001945B8" w:rsidP="001945B8">
                            <w:pPr>
                              <w:shd w:val="clear" w:color="auto" w:fill="C1E4F5" w:themeFill="accent1" w:themeFillTint="33"/>
                              <w:rPr>
                                <w:rFonts w:cstheme="minorHAnsi"/>
                              </w:rPr>
                            </w:pPr>
                            <w:r w:rsidRPr="00D77E3C">
                              <w:rPr>
                                <w:rFonts w:cstheme="minorHAnsi"/>
                              </w:rPr>
                              <w:t xml:space="preserve">This course meets UWM General Education Requirements (GER) for </w:t>
                            </w:r>
                            <w:r>
                              <w:rPr>
                                <w:rFonts w:cstheme="minorHAnsi"/>
                              </w:rPr>
                              <w:t>Quantitative Literacy, Part B</w:t>
                            </w:r>
                            <w:r w:rsidRPr="00D77E3C">
                              <w:rPr>
                                <w:rFonts w:cstheme="minorHAnsi"/>
                              </w:rPr>
                              <w:t>.</w:t>
                            </w:r>
                            <w:r>
                              <w:rPr>
                                <w:rFonts w:cstheme="minorHAnsi"/>
                              </w:rPr>
                              <w:t xml:space="preserve">  </w:t>
                            </w:r>
                            <w:r>
                              <w:rPr>
                                <w:sz w:val="24"/>
                              </w:rPr>
                              <w:t>A</w:t>
                            </w:r>
                            <w:r>
                              <w:rPr>
                                <w:spacing w:val="-3"/>
                                <w:sz w:val="24"/>
                              </w:rPr>
                              <w:t xml:space="preserve"> </w:t>
                            </w:r>
                            <w:r>
                              <w:rPr>
                                <w:sz w:val="24"/>
                              </w:rPr>
                              <w:t>QL-B</w:t>
                            </w:r>
                            <w:r>
                              <w:rPr>
                                <w:spacing w:val="-3"/>
                                <w:sz w:val="24"/>
                              </w:rPr>
                              <w:t xml:space="preserve"> </w:t>
                            </w:r>
                            <w:r>
                              <w:rPr>
                                <w:sz w:val="24"/>
                              </w:rPr>
                              <w:t>course</w:t>
                            </w:r>
                            <w:r>
                              <w:rPr>
                                <w:spacing w:val="-2"/>
                                <w:sz w:val="24"/>
                              </w:rPr>
                              <w:t xml:space="preserve"> </w:t>
                            </w:r>
                            <w:r>
                              <w:rPr>
                                <w:sz w:val="24"/>
                              </w:rPr>
                              <w:t>must</w:t>
                            </w:r>
                            <w:r>
                              <w:rPr>
                                <w:spacing w:val="-5"/>
                                <w:sz w:val="24"/>
                              </w:rPr>
                              <w:t xml:space="preserve"> </w:t>
                            </w:r>
                            <w:r>
                              <w:rPr>
                                <w:sz w:val="24"/>
                              </w:rPr>
                              <w:t>make</w:t>
                            </w:r>
                            <w:r>
                              <w:rPr>
                                <w:spacing w:val="-2"/>
                                <w:sz w:val="24"/>
                              </w:rPr>
                              <w:t xml:space="preserve"> </w:t>
                            </w:r>
                            <w:r>
                              <w:rPr>
                                <w:sz w:val="24"/>
                              </w:rPr>
                              <w:t>significant</w:t>
                            </w:r>
                            <w:r>
                              <w:rPr>
                                <w:spacing w:val="-5"/>
                                <w:sz w:val="24"/>
                              </w:rPr>
                              <w:t xml:space="preserve"> </w:t>
                            </w:r>
                            <w:r>
                              <w:rPr>
                                <w:sz w:val="24"/>
                              </w:rPr>
                              <w:t>use</w:t>
                            </w:r>
                            <w:r>
                              <w:rPr>
                                <w:spacing w:val="-2"/>
                                <w:sz w:val="24"/>
                              </w:rPr>
                              <w:t xml:space="preserve"> </w:t>
                            </w:r>
                            <w:r>
                              <w:rPr>
                                <w:sz w:val="24"/>
                              </w:rPr>
                              <w:t>of</w:t>
                            </w:r>
                            <w:r>
                              <w:rPr>
                                <w:spacing w:val="-5"/>
                                <w:sz w:val="24"/>
                              </w:rPr>
                              <w:t xml:space="preserve"> </w:t>
                            </w:r>
                            <w:r>
                              <w:rPr>
                                <w:sz w:val="24"/>
                              </w:rPr>
                              <w:t>quantitative</w:t>
                            </w:r>
                            <w:r>
                              <w:rPr>
                                <w:spacing w:val="-2"/>
                                <w:sz w:val="24"/>
                              </w:rPr>
                              <w:t xml:space="preserve"> </w:t>
                            </w:r>
                            <w:r>
                              <w:rPr>
                                <w:sz w:val="24"/>
                              </w:rPr>
                              <w:t>tools</w:t>
                            </w:r>
                            <w:r>
                              <w:rPr>
                                <w:spacing w:val="-3"/>
                                <w:sz w:val="24"/>
                              </w:rPr>
                              <w:t xml:space="preserve"> </w:t>
                            </w:r>
                            <w:r>
                              <w:rPr>
                                <w:sz w:val="24"/>
                              </w:rPr>
                              <w:t>in</w:t>
                            </w:r>
                            <w:r>
                              <w:rPr>
                                <w:spacing w:val="-2"/>
                                <w:sz w:val="24"/>
                              </w:rPr>
                              <w:t xml:space="preserve"> </w:t>
                            </w:r>
                            <w:r>
                              <w:rPr>
                                <w:sz w:val="24"/>
                              </w:rPr>
                              <w:t>the context of the other course material and formally assess for proficiency in applying these quantitative tools.</w:t>
                            </w:r>
                            <w:r>
                              <w:rPr>
                                <w:sz w:val="24"/>
                              </w:rPr>
                              <w:t xml:space="preserve"> </w:t>
                            </w:r>
                            <w:r w:rsidRPr="001945B8">
                              <w:rPr>
                                <w:sz w:val="24"/>
                              </w:rPr>
                              <w:t>Quantitative literacy includes the recognition, construction, and use of valid mathematical models to analyze and manipulate quantitative information to reach reasonable conclusions, predictions, or inferences.</w:t>
                            </w:r>
                          </w:p>
                          <w:p w14:paraId="1E094BD0" w14:textId="6CE5303C" w:rsidR="001945B8" w:rsidRPr="001945B8" w:rsidRDefault="001945B8" w:rsidP="001945B8">
                            <w:pPr>
                              <w:shd w:val="clear" w:color="auto" w:fill="C1E4F5" w:themeFill="accent1" w:themeFillTint="33"/>
                              <w:rPr>
                                <w:rFonts w:cstheme="minorHAnsi"/>
                              </w:rPr>
                            </w:pPr>
                            <w:r>
                              <w:rPr>
                                <w:rFonts w:cstheme="minorHAnsi"/>
                              </w:rPr>
                              <w:t xml:space="preserve">Learning </w:t>
                            </w:r>
                            <w:r w:rsidRPr="001945B8">
                              <w:rPr>
                                <w:rFonts w:cstheme="minorHAnsi"/>
                              </w:rPr>
                              <w:t xml:space="preserve">Outcomes </w:t>
                            </w:r>
                            <w:r>
                              <w:rPr>
                                <w:rFonts w:cstheme="minorHAnsi"/>
                              </w:rPr>
                              <w:t>for QL-B courses</w:t>
                            </w:r>
                            <w:r w:rsidRPr="001945B8">
                              <w:rPr>
                                <w:rFonts w:cstheme="minorHAnsi"/>
                              </w:rPr>
                              <w:t xml:space="preserve"> include the following:</w:t>
                            </w:r>
                          </w:p>
                          <w:p w14:paraId="65AE3BB5" w14:textId="77777777"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recognize and construct mathematical models and/or hypotheses that represent quantitative information.</w:t>
                            </w:r>
                          </w:p>
                          <w:p w14:paraId="68358417" w14:textId="77777777"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evaluate the validity of these models and hypotheses.</w:t>
                            </w:r>
                          </w:p>
                          <w:p w14:paraId="6819516D" w14:textId="77777777"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analyze and manipulate mathematical models using quantitative information.</w:t>
                            </w:r>
                          </w:p>
                          <w:p w14:paraId="2E55B218" w14:textId="77777777"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reach logical conclusions, predictions, or inferences.</w:t>
                            </w:r>
                          </w:p>
                          <w:p w14:paraId="5437CDFD" w14:textId="289E00FC"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assess the reasonableness of their conclusions.</w:t>
                            </w:r>
                          </w:p>
                          <w:p w14:paraId="7BE63B3F" w14:textId="77777777" w:rsidR="001945B8" w:rsidRPr="00D77E3C" w:rsidRDefault="001945B8" w:rsidP="001945B8">
                            <w:pPr>
                              <w:shd w:val="clear" w:color="auto" w:fill="C1E4F5" w:themeFill="accent1" w:themeFillTint="33"/>
                              <w:rPr>
                                <w:rFonts w:cstheme="minorHAnsi"/>
                                <w:b/>
                              </w:rPr>
                            </w:pPr>
                            <w:r w:rsidRPr="00D77E3C">
                              <w:rPr>
                                <w:rFonts w:cstheme="minorHAnsi"/>
                                <w:b/>
                              </w:rPr>
                              <w:t>UW Shared Learning Goal</w:t>
                            </w:r>
                          </w:p>
                          <w:p w14:paraId="4A7BE602" w14:textId="46CE9110" w:rsidR="001945B8" w:rsidRPr="00D77E3C" w:rsidRDefault="001945B8" w:rsidP="001945B8">
                            <w:pPr>
                              <w:shd w:val="clear" w:color="auto" w:fill="C1E4F5" w:themeFill="accent1" w:themeFillTint="33"/>
                              <w:rPr>
                                <w:rFonts w:cstheme="minorHAnsi"/>
                                <w:b/>
                                <w:i/>
                              </w:rPr>
                            </w:pPr>
                            <w:r w:rsidRPr="00D77E3C">
                              <w:rPr>
                                <w:rFonts w:cstheme="minorHAnsi"/>
                              </w:rPr>
                              <w:t xml:space="preserve">As part of the UW </w:t>
                            </w:r>
                            <w:r>
                              <w:rPr>
                                <w:rFonts w:cstheme="minorHAnsi"/>
                              </w:rPr>
                              <w:t xml:space="preserve">System </w:t>
                            </w:r>
                            <w:r w:rsidRPr="00D77E3C">
                              <w:rPr>
                                <w:rFonts w:cstheme="minorHAnsi"/>
                              </w:rPr>
                              <w:t>Shared Learning Goals, this course is also expected to foster</w:t>
                            </w:r>
                            <w:r w:rsidR="00364F44">
                              <w:rPr>
                                <w:rFonts w:cstheme="minorHAnsi"/>
                              </w:rPr>
                              <w:t xml:space="preserve"> Effective Communication Skills, including the ability to effectively communicate quantitative information</w:t>
                            </w:r>
                            <w:r w:rsidRPr="00D77E3C">
                              <w:rPr>
                                <w:rFonts w:cstheme="minorHAnsi"/>
                                <w:i/>
                                <w:iCs/>
                              </w:rPr>
                              <w:t>.</w:t>
                            </w:r>
                            <w:r w:rsidRPr="00D77E3C">
                              <w:rPr>
                                <w:rFonts w:cstheme="minorHAnsi"/>
                                <w:i/>
                              </w:rPr>
                              <w:t>†</w:t>
                            </w:r>
                          </w:p>
                          <w:p w14:paraId="7171E709" w14:textId="77777777" w:rsidR="001945B8" w:rsidRPr="00D77E3C" w:rsidRDefault="001945B8" w:rsidP="001945B8">
                            <w:pPr>
                              <w:shd w:val="clear" w:color="auto" w:fill="C1E4F5" w:themeFill="accent1" w:themeFillTint="33"/>
                              <w:rPr>
                                <w:rFonts w:cstheme="minorHAnsi"/>
                                <w:b/>
                              </w:rPr>
                            </w:pPr>
                            <w:r w:rsidRPr="00D77E3C">
                              <w:rPr>
                                <w:rFonts w:cstheme="minorHAnsi"/>
                                <w:b/>
                              </w:rPr>
                              <w:t xml:space="preserve">GER Assessment: </w:t>
                            </w:r>
                          </w:p>
                          <w:p w14:paraId="39B927DA" w14:textId="77777777" w:rsidR="001945B8" w:rsidRPr="00D77E3C" w:rsidRDefault="001945B8" w:rsidP="001945B8">
                            <w:pPr>
                              <w:shd w:val="clear" w:color="auto" w:fill="C1E4F5" w:themeFill="accent1" w:themeFillTint="33"/>
                              <w:rPr>
                                <w:rFonts w:cstheme="minorHAnsi"/>
                              </w:rPr>
                            </w:pPr>
                            <w:r w:rsidRPr="00D77E3C">
                              <w:rPr>
                                <w:rFonts w:cstheme="minorHAnsi"/>
                              </w:rPr>
                              <w:t xml:space="preserve">Here’s how your learning for these GER outcomes will be assessed:  </w:t>
                            </w:r>
                          </w:p>
                          <w:p w14:paraId="6F153E3C" w14:textId="56D3154E" w:rsidR="001945B8" w:rsidRDefault="001945B8" w:rsidP="001945B8">
                            <w:pPr>
                              <w:shd w:val="clear" w:color="auto" w:fill="C1E4F5" w:themeFill="accent1" w:themeFillTint="33"/>
                              <w:spacing w:after="0" w:line="240" w:lineRule="auto"/>
                              <w:rPr>
                                <w:rFonts w:cstheme="minorHAnsi"/>
                              </w:rPr>
                            </w:pPr>
                            <w:r w:rsidRPr="001945B8">
                              <w:rPr>
                                <w:rFonts w:cstheme="minorHAnsi"/>
                              </w:rPr>
                              <w:t>Th</w:t>
                            </w:r>
                            <w:r>
                              <w:rPr>
                                <w:rFonts w:cstheme="minorHAnsi"/>
                              </w:rPr>
                              <w:t>e final</w:t>
                            </w:r>
                            <w:r w:rsidRPr="001945B8">
                              <w:rPr>
                                <w:rFonts w:cstheme="minorHAnsi"/>
                              </w:rPr>
                              <w:t xml:space="preserve"> project consists of two data sets and accompanying articles</w:t>
                            </w:r>
                            <w:r>
                              <w:rPr>
                                <w:rFonts w:cstheme="minorHAnsi"/>
                              </w:rPr>
                              <w:t>, and provides students with the opportunity to demonstrate outcomes (a) through (e) above</w:t>
                            </w:r>
                            <w:r w:rsidR="00364F44">
                              <w:rPr>
                                <w:rFonts w:cstheme="minorHAnsi"/>
                              </w:rPr>
                              <w:t>, as well as communication</w:t>
                            </w:r>
                            <w:r w:rsidRPr="001945B8">
                              <w:rPr>
                                <w:rFonts w:cstheme="minorHAnsi"/>
                              </w:rPr>
                              <w:t>.</w:t>
                            </w:r>
                            <w:r w:rsidRPr="001945B8">
                              <w:rPr>
                                <w:rFonts w:ascii="Arial" w:hAnsi="Arial" w:cs="Arial"/>
                              </w:rPr>
                              <w:t> </w:t>
                            </w:r>
                            <w:r w:rsidRPr="001945B8">
                              <w:rPr>
                                <w:rFonts w:cstheme="minorHAnsi"/>
                              </w:rPr>
                              <w:t xml:space="preserve"> Students will analyze the data sets and create</w:t>
                            </w:r>
                            <w:r w:rsidRPr="001945B8">
                              <w:rPr>
                                <w:rFonts w:ascii="Arial" w:hAnsi="Arial" w:cs="Arial"/>
                              </w:rPr>
                              <w:t> </w:t>
                            </w:r>
                            <w:r w:rsidRPr="001945B8">
                              <w:rPr>
                                <w:rFonts w:cstheme="minorHAnsi"/>
                              </w:rPr>
                              <w:t>three</w:t>
                            </w:r>
                            <w:r w:rsidRPr="001945B8">
                              <w:rPr>
                                <w:rFonts w:ascii="Arial" w:hAnsi="Arial" w:cs="Arial"/>
                              </w:rPr>
                              <w:t> </w:t>
                            </w:r>
                            <w:r w:rsidRPr="001945B8">
                              <w:rPr>
                                <w:rFonts w:cstheme="minorHAnsi"/>
                              </w:rPr>
                              <w:t xml:space="preserve">visualizations for each of the data sets (six visualizations total). </w:t>
                            </w:r>
                            <w:r>
                              <w:rPr>
                                <w:rFonts w:cstheme="minorHAnsi"/>
                              </w:rPr>
                              <w:t xml:space="preserve">Students will submit an excel file which includes </w:t>
                            </w:r>
                            <w:r w:rsidRPr="001945B8">
                              <w:rPr>
                                <w:rFonts w:cstheme="minorHAnsi"/>
                              </w:rPr>
                              <w:t>the analyzation process and calculations and tests used</w:t>
                            </w:r>
                            <w:r>
                              <w:rPr>
                                <w:rFonts w:cstheme="minorHAnsi"/>
                              </w:rPr>
                              <w:t xml:space="preserve">; </w:t>
                            </w:r>
                            <w:r w:rsidRPr="001945B8">
                              <w:rPr>
                                <w:rFonts w:cstheme="minorHAnsi"/>
                              </w:rPr>
                              <w:t xml:space="preserve">explanations of why specific inferential tests were used </w:t>
                            </w:r>
                            <w:r>
                              <w:rPr>
                                <w:rFonts w:cstheme="minorHAnsi"/>
                              </w:rPr>
                              <w:t xml:space="preserve">; </w:t>
                            </w:r>
                            <w:r w:rsidRPr="001945B8">
                              <w:rPr>
                                <w:rFonts w:cstheme="minorHAnsi"/>
                              </w:rPr>
                              <w:t>assumptions about the data and why the assumptions are appropriate</w:t>
                            </w:r>
                            <w:r>
                              <w:rPr>
                                <w:rFonts w:cstheme="minorHAnsi"/>
                              </w:rPr>
                              <w:t xml:space="preserve">; and </w:t>
                            </w:r>
                            <w:r w:rsidRPr="001945B8">
                              <w:rPr>
                                <w:rFonts w:cstheme="minorHAnsi"/>
                              </w:rPr>
                              <w:t>what conclusions may be limited by the accuracy of assumptions</w:t>
                            </w:r>
                            <w:r>
                              <w:rPr>
                                <w:rFonts w:cstheme="minorHAnsi"/>
                              </w:rPr>
                              <w:t>.</w:t>
                            </w:r>
                          </w:p>
                          <w:p w14:paraId="5651760E" w14:textId="77777777" w:rsidR="001945B8" w:rsidRDefault="001945B8" w:rsidP="001945B8">
                            <w:pPr>
                              <w:pStyle w:val="ListParagraph"/>
                              <w:shd w:val="clear" w:color="auto" w:fill="C1E4F5" w:themeFill="accent1" w:themeFillTint="33"/>
                              <w:spacing w:after="0" w:line="240" w:lineRule="auto"/>
                              <w:rPr>
                                <w:rFonts w:cstheme="minorHAnsi"/>
                              </w:rPr>
                            </w:pPr>
                          </w:p>
                          <w:p w14:paraId="7B754EE8" w14:textId="77777777" w:rsidR="00364F44" w:rsidRDefault="00364F44" w:rsidP="00364F44">
                            <w:r>
                              <w:t xml:space="preserve">The following criteria will be used to assess the project:  </w:t>
                            </w:r>
                          </w:p>
                          <w:p w14:paraId="4E9814EA" w14:textId="77777777" w:rsidR="00364F44" w:rsidRDefault="00364F44" w:rsidP="00364F44">
                            <w:pPr>
                              <w:spacing w:after="0"/>
                              <w:ind w:left="720"/>
                            </w:pPr>
                            <w:r>
                              <w:t xml:space="preserve">1. Interpretation.  Are the data visualizations explained in their placement?    </w:t>
                            </w:r>
                          </w:p>
                          <w:p w14:paraId="3B672CD3" w14:textId="77777777" w:rsidR="00364F44" w:rsidRDefault="00364F44" w:rsidP="00364F44">
                            <w:pPr>
                              <w:spacing w:after="0"/>
                              <w:ind w:left="720"/>
                            </w:pPr>
                            <w:r>
                              <w:t xml:space="preserve">2. Representation. Do the visualizations appropriately represent the results of statistical analyses?   </w:t>
                            </w:r>
                          </w:p>
                          <w:p w14:paraId="002F7000" w14:textId="77777777" w:rsidR="00364F44" w:rsidRDefault="00364F44" w:rsidP="00364F44">
                            <w:pPr>
                              <w:spacing w:after="0"/>
                              <w:ind w:left="720"/>
                            </w:pPr>
                            <w:r>
                              <w:t xml:space="preserve">3. Calculations. Were calculations successful and sufficiently comprehensive for the text?   </w:t>
                            </w:r>
                          </w:p>
                          <w:p w14:paraId="36E85F35" w14:textId="77777777" w:rsidR="00364F44" w:rsidRDefault="00364F44" w:rsidP="00364F44">
                            <w:pPr>
                              <w:spacing w:after="0"/>
                              <w:ind w:left="720"/>
                            </w:pPr>
                            <w:r>
                              <w:t xml:space="preserve">4.  Application/Analysis.  Were appropriate statistical tests used?  Were appropriate visualizations used?   </w:t>
                            </w:r>
                          </w:p>
                          <w:p w14:paraId="0B99385E" w14:textId="77777777" w:rsidR="00364F44" w:rsidRDefault="00364F44" w:rsidP="00364F44">
                            <w:pPr>
                              <w:spacing w:after="0"/>
                              <w:ind w:left="720"/>
                            </w:pPr>
                            <w:r>
                              <w:t xml:space="preserve">5.  Assumptions. Did assumptions appropriately align with the text?   </w:t>
                            </w:r>
                          </w:p>
                          <w:p w14:paraId="10143449" w14:textId="77777777" w:rsidR="00364F44" w:rsidRDefault="00364F44" w:rsidP="00364F44">
                            <w:pPr>
                              <w:spacing w:after="0"/>
                              <w:ind w:left="720"/>
                            </w:pPr>
                            <w:r>
                              <w:t>6.  Communication.  Did the visualizations support the text appropriately?</w:t>
                            </w:r>
                          </w:p>
                          <w:p w14:paraId="0B737179" w14:textId="77777777" w:rsidR="001945B8" w:rsidRPr="001945B8" w:rsidRDefault="001945B8" w:rsidP="00364F44">
                            <w:pPr>
                              <w:shd w:val="clear" w:color="auto" w:fill="C1E4F5" w:themeFill="accent1" w:themeFillTint="33"/>
                              <w:spacing w:after="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57A8E" id="_x0000_t202" coordsize="21600,21600" o:spt="202" path="m,l,21600r21600,l21600,xe">
                <v:stroke joinstyle="miter"/>
                <v:path gradientshapeok="t" o:connecttype="rect"/>
              </v:shapetype>
              <v:shape id="Text Box 2" o:spid="_x0000_s1026" type="#_x0000_t202" style="position:absolute;margin-left:-8.5pt;margin-top:20.35pt;width:512.5pt;height:6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" fillcolor="#c1e4f5 [660]">
                <v:textbox>
                  <w:txbxContent>
                    <w:p w14:paraId="1892DD18" w14:textId="77777777" w:rsidR="001945B8" w:rsidRPr="00D77E3C" w:rsidRDefault="001945B8" w:rsidP="001945B8">
                      <w:pPr>
                        <w:shd w:val="clear" w:color="auto" w:fill="C1E4F5" w:themeFill="accent1" w:themeFillTint="33"/>
                        <w:rPr>
                          <w:rFonts w:cstheme="minorHAnsi"/>
                          <w:b/>
                        </w:rPr>
                      </w:pPr>
                      <w:r w:rsidRPr="00D77E3C">
                        <w:rPr>
                          <w:rFonts w:cstheme="minorHAnsi"/>
                          <w:b/>
                        </w:rPr>
                        <w:t>GER Statement: Learning Outcomes for this Course</w:t>
                      </w:r>
                    </w:p>
                    <w:p w14:paraId="55389CB0" w14:textId="6539E2B1" w:rsidR="001945B8" w:rsidRPr="00D77E3C" w:rsidRDefault="001945B8" w:rsidP="001945B8">
                      <w:pPr>
                        <w:shd w:val="clear" w:color="auto" w:fill="C1E4F5" w:themeFill="accent1" w:themeFillTint="33"/>
                        <w:rPr>
                          <w:rFonts w:cstheme="minorHAnsi"/>
                        </w:rPr>
                      </w:pPr>
                      <w:r w:rsidRPr="00D77E3C">
                        <w:rPr>
                          <w:rFonts w:cstheme="minorHAnsi"/>
                        </w:rPr>
                        <w:t xml:space="preserve">This course meets UWM General Education Requirements (GER) for </w:t>
                      </w:r>
                      <w:r>
                        <w:rPr>
                          <w:rFonts w:cstheme="minorHAnsi"/>
                        </w:rPr>
                        <w:t>Quantitative Literacy, Part B</w:t>
                      </w:r>
                      <w:r w:rsidRPr="00D77E3C">
                        <w:rPr>
                          <w:rFonts w:cstheme="minorHAnsi"/>
                        </w:rPr>
                        <w:t>.</w:t>
                      </w:r>
                      <w:r>
                        <w:rPr>
                          <w:rFonts w:cstheme="minorHAnsi"/>
                        </w:rPr>
                        <w:t xml:space="preserve">  </w:t>
                      </w:r>
                      <w:r>
                        <w:rPr>
                          <w:sz w:val="24"/>
                        </w:rPr>
                        <w:t>A</w:t>
                      </w:r>
                      <w:r>
                        <w:rPr>
                          <w:spacing w:val="-3"/>
                          <w:sz w:val="24"/>
                        </w:rPr>
                        <w:t xml:space="preserve"> </w:t>
                      </w:r>
                      <w:r>
                        <w:rPr>
                          <w:sz w:val="24"/>
                        </w:rPr>
                        <w:t>QL-B</w:t>
                      </w:r>
                      <w:r>
                        <w:rPr>
                          <w:spacing w:val="-3"/>
                          <w:sz w:val="24"/>
                        </w:rPr>
                        <w:t xml:space="preserve"> </w:t>
                      </w:r>
                      <w:r>
                        <w:rPr>
                          <w:sz w:val="24"/>
                        </w:rPr>
                        <w:t>course</w:t>
                      </w:r>
                      <w:r>
                        <w:rPr>
                          <w:spacing w:val="-2"/>
                          <w:sz w:val="24"/>
                        </w:rPr>
                        <w:t xml:space="preserve"> </w:t>
                      </w:r>
                      <w:r>
                        <w:rPr>
                          <w:sz w:val="24"/>
                        </w:rPr>
                        <w:t>must</w:t>
                      </w:r>
                      <w:r>
                        <w:rPr>
                          <w:spacing w:val="-5"/>
                          <w:sz w:val="24"/>
                        </w:rPr>
                        <w:t xml:space="preserve"> </w:t>
                      </w:r>
                      <w:r>
                        <w:rPr>
                          <w:sz w:val="24"/>
                        </w:rPr>
                        <w:t>make</w:t>
                      </w:r>
                      <w:r>
                        <w:rPr>
                          <w:spacing w:val="-2"/>
                          <w:sz w:val="24"/>
                        </w:rPr>
                        <w:t xml:space="preserve"> </w:t>
                      </w:r>
                      <w:r>
                        <w:rPr>
                          <w:sz w:val="24"/>
                        </w:rPr>
                        <w:t>significant</w:t>
                      </w:r>
                      <w:r>
                        <w:rPr>
                          <w:spacing w:val="-5"/>
                          <w:sz w:val="24"/>
                        </w:rPr>
                        <w:t xml:space="preserve"> </w:t>
                      </w:r>
                      <w:r>
                        <w:rPr>
                          <w:sz w:val="24"/>
                        </w:rPr>
                        <w:t>use</w:t>
                      </w:r>
                      <w:r>
                        <w:rPr>
                          <w:spacing w:val="-2"/>
                          <w:sz w:val="24"/>
                        </w:rPr>
                        <w:t xml:space="preserve"> </w:t>
                      </w:r>
                      <w:r>
                        <w:rPr>
                          <w:sz w:val="24"/>
                        </w:rPr>
                        <w:t>of</w:t>
                      </w:r>
                      <w:r>
                        <w:rPr>
                          <w:spacing w:val="-5"/>
                          <w:sz w:val="24"/>
                        </w:rPr>
                        <w:t xml:space="preserve"> </w:t>
                      </w:r>
                      <w:r>
                        <w:rPr>
                          <w:sz w:val="24"/>
                        </w:rPr>
                        <w:t>quantitative</w:t>
                      </w:r>
                      <w:r>
                        <w:rPr>
                          <w:spacing w:val="-2"/>
                          <w:sz w:val="24"/>
                        </w:rPr>
                        <w:t xml:space="preserve"> </w:t>
                      </w:r>
                      <w:r>
                        <w:rPr>
                          <w:sz w:val="24"/>
                        </w:rPr>
                        <w:t>tools</w:t>
                      </w:r>
                      <w:r>
                        <w:rPr>
                          <w:spacing w:val="-3"/>
                          <w:sz w:val="24"/>
                        </w:rPr>
                        <w:t xml:space="preserve"> </w:t>
                      </w:r>
                      <w:r>
                        <w:rPr>
                          <w:sz w:val="24"/>
                        </w:rPr>
                        <w:t>in</w:t>
                      </w:r>
                      <w:r>
                        <w:rPr>
                          <w:spacing w:val="-2"/>
                          <w:sz w:val="24"/>
                        </w:rPr>
                        <w:t xml:space="preserve"> </w:t>
                      </w:r>
                      <w:r>
                        <w:rPr>
                          <w:sz w:val="24"/>
                        </w:rPr>
                        <w:t>the context of the other course material and formally assess for proficiency in applying these quantitative tools.</w:t>
                      </w:r>
                      <w:r>
                        <w:rPr>
                          <w:sz w:val="24"/>
                        </w:rPr>
                        <w:t xml:space="preserve"> </w:t>
                      </w:r>
                      <w:r w:rsidRPr="001945B8">
                        <w:rPr>
                          <w:sz w:val="24"/>
                        </w:rPr>
                        <w:t>Quantitative literacy includes the recognition, construction, and use of valid mathematical models to analyze and manipulate quantitative information to reach reasonable conclusions, predictions, or inferences.</w:t>
                      </w:r>
                    </w:p>
                    <w:p w14:paraId="1E094BD0" w14:textId="6CE5303C" w:rsidR="001945B8" w:rsidRPr="001945B8" w:rsidRDefault="001945B8" w:rsidP="001945B8">
                      <w:pPr>
                        <w:shd w:val="clear" w:color="auto" w:fill="C1E4F5" w:themeFill="accent1" w:themeFillTint="33"/>
                        <w:rPr>
                          <w:rFonts w:cstheme="minorHAnsi"/>
                        </w:rPr>
                      </w:pPr>
                      <w:r>
                        <w:rPr>
                          <w:rFonts w:cstheme="minorHAnsi"/>
                        </w:rPr>
                        <w:t xml:space="preserve">Learning </w:t>
                      </w:r>
                      <w:r w:rsidRPr="001945B8">
                        <w:rPr>
                          <w:rFonts w:cstheme="minorHAnsi"/>
                        </w:rPr>
                        <w:t xml:space="preserve">Outcomes </w:t>
                      </w:r>
                      <w:r>
                        <w:rPr>
                          <w:rFonts w:cstheme="minorHAnsi"/>
                        </w:rPr>
                        <w:t>for QL-B courses</w:t>
                      </w:r>
                      <w:r w:rsidRPr="001945B8">
                        <w:rPr>
                          <w:rFonts w:cstheme="minorHAnsi"/>
                        </w:rPr>
                        <w:t xml:space="preserve"> include the following:</w:t>
                      </w:r>
                    </w:p>
                    <w:p w14:paraId="65AE3BB5" w14:textId="77777777"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recognize and construct mathematical models and/or hypotheses that represent quantitative information.</w:t>
                      </w:r>
                    </w:p>
                    <w:p w14:paraId="68358417" w14:textId="77777777"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evaluate the validity of these models and hypotheses.</w:t>
                      </w:r>
                    </w:p>
                    <w:p w14:paraId="6819516D" w14:textId="77777777"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analyze and manipulate mathematical models using quantitative information.</w:t>
                      </w:r>
                    </w:p>
                    <w:p w14:paraId="2E55B218" w14:textId="77777777"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reach logical conclusions, predictions, or inferences.</w:t>
                      </w:r>
                    </w:p>
                    <w:p w14:paraId="5437CDFD" w14:textId="289E00FC" w:rsidR="001945B8" w:rsidRPr="001945B8" w:rsidRDefault="001945B8" w:rsidP="001945B8">
                      <w:pPr>
                        <w:pStyle w:val="ListParagraph"/>
                        <w:numPr>
                          <w:ilvl w:val="0"/>
                          <w:numId w:val="11"/>
                        </w:numPr>
                        <w:shd w:val="clear" w:color="auto" w:fill="C1E4F5" w:themeFill="accent1" w:themeFillTint="33"/>
                        <w:rPr>
                          <w:rFonts w:cstheme="minorHAnsi"/>
                        </w:rPr>
                      </w:pPr>
                      <w:r w:rsidRPr="001945B8">
                        <w:rPr>
                          <w:rFonts w:cstheme="minorHAnsi"/>
                        </w:rPr>
                        <w:t>Students will assess the reasonableness of their conclusions.</w:t>
                      </w:r>
                    </w:p>
                    <w:p w14:paraId="7BE63B3F" w14:textId="77777777" w:rsidR="001945B8" w:rsidRPr="00D77E3C" w:rsidRDefault="001945B8" w:rsidP="001945B8">
                      <w:pPr>
                        <w:shd w:val="clear" w:color="auto" w:fill="C1E4F5" w:themeFill="accent1" w:themeFillTint="33"/>
                        <w:rPr>
                          <w:rFonts w:cstheme="minorHAnsi"/>
                          <w:b/>
                        </w:rPr>
                      </w:pPr>
                      <w:r w:rsidRPr="00D77E3C">
                        <w:rPr>
                          <w:rFonts w:cstheme="minorHAnsi"/>
                          <w:b/>
                        </w:rPr>
                        <w:t>UW Shared Learning Goal</w:t>
                      </w:r>
                    </w:p>
                    <w:p w14:paraId="4A7BE602" w14:textId="46CE9110" w:rsidR="001945B8" w:rsidRPr="00D77E3C" w:rsidRDefault="001945B8" w:rsidP="001945B8">
                      <w:pPr>
                        <w:shd w:val="clear" w:color="auto" w:fill="C1E4F5" w:themeFill="accent1" w:themeFillTint="33"/>
                        <w:rPr>
                          <w:rFonts w:cstheme="minorHAnsi"/>
                          <w:b/>
                          <w:i/>
                        </w:rPr>
                      </w:pPr>
                      <w:r w:rsidRPr="00D77E3C">
                        <w:rPr>
                          <w:rFonts w:cstheme="minorHAnsi"/>
                        </w:rPr>
                        <w:t xml:space="preserve">As part of the UW </w:t>
                      </w:r>
                      <w:r>
                        <w:rPr>
                          <w:rFonts w:cstheme="minorHAnsi"/>
                        </w:rPr>
                        <w:t xml:space="preserve">System </w:t>
                      </w:r>
                      <w:r w:rsidRPr="00D77E3C">
                        <w:rPr>
                          <w:rFonts w:cstheme="minorHAnsi"/>
                        </w:rPr>
                        <w:t>Shared Learning Goals, this course is also expected to foster</w:t>
                      </w:r>
                      <w:r w:rsidR="00364F44">
                        <w:rPr>
                          <w:rFonts w:cstheme="minorHAnsi"/>
                        </w:rPr>
                        <w:t xml:space="preserve"> Effective Communication Skills, including the ability to effectively communicate quantitative information</w:t>
                      </w:r>
                      <w:r w:rsidRPr="00D77E3C">
                        <w:rPr>
                          <w:rFonts w:cstheme="minorHAnsi"/>
                          <w:i/>
                          <w:iCs/>
                        </w:rPr>
                        <w:t>.</w:t>
                      </w:r>
                      <w:r w:rsidRPr="00D77E3C">
                        <w:rPr>
                          <w:rFonts w:cstheme="minorHAnsi"/>
                          <w:i/>
                        </w:rPr>
                        <w:t>†</w:t>
                      </w:r>
                    </w:p>
                    <w:p w14:paraId="7171E709" w14:textId="77777777" w:rsidR="001945B8" w:rsidRPr="00D77E3C" w:rsidRDefault="001945B8" w:rsidP="001945B8">
                      <w:pPr>
                        <w:shd w:val="clear" w:color="auto" w:fill="C1E4F5" w:themeFill="accent1" w:themeFillTint="33"/>
                        <w:rPr>
                          <w:rFonts w:cstheme="minorHAnsi"/>
                          <w:b/>
                        </w:rPr>
                      </w:pPr>
                      <w:r w:rsidRPr="00D77E3C">
                        <w:rPr>
                          <w:rFonts w:cstheme="minorHAnsi"/>
                          <w:b/>
                        </w:rPr>
                        <w:t xml:space="preserve">GER Assessment: </w:t>
                      </w:r>
                    </w:p>
                    <w:p w14:paraId="39B927DA" w14:textId="77777777" w:rsidR="001945B8" w:rsidRPr="00D77E3C" w:rsidRDefault="001945B8" w:rsidP="001945B8">
                      <w:pPr>
                        <w:shd w:val="clear" w:color="auto" w:fill="C1E4F5" w:themeFill="accent1" w:themeFillTint="33"/>
                        <w:rPr>
                          <w:rFonts w:cstheme="minorHAnsi"/>
                        </w:rPr>
                      </w:pPr>
                      <w:r w:rsidRPr="00D77E3C">
                        <w:rPr>
                          <w:rFonts w:cstheme="minorHAnsi"/>
                        </w:rPr>
                        <w:t xml:space="preserve">Here’s how your learning for these GER outcomes will be assessed:  </w:t>
                      </w:r>
                    </w:p>
                    <w:p w14:paraId="6F153E3C" w14:textId="56D3154E" w:rsidR="001945B8" w:rsidRDefault="001945B8" w:rsidP="001945B8">
                      <w:pPr>
                        <w:shd w:val="clear" w:color="auto" w:fill="C1E4F5" w:themeFill="accent1" w:themeFillTint="33"/>
                        <w:spacing w:after="0" w:line="240" w:lineRule="auto"/>
                        <w:rPr>
                          <w:rFonts w:cstheme="minorHAnsi"/>
                        </w:rPr>
                      </w:pPr>
                      <w:r w:rsidRPr="001945B8">
                        <w:rPr>
                          <w:rFonts w:cstheme="minorHAnsi"/>
                        </w:rPr>
                        <w:t>Th</w:t>
                      </w:r>
                      <w:r>
                        <w:rPr>
                          <w:rFonts w:cstheme="minorHAnsi"/>
                        </w:rPr>
                        <w:t>e final</w:t>
                      </w:r>
                      <w:r w:rsidRPr="001945B8">
                        <w:rPr>
                          <w:rFonts w:cstheme="minorHAnsi"/>
                        </w:rPr>
                        <w:t xml:space="preserve"> project consists of two data sets and accompanying articles</w:t>
                      </w:r>
                      <w:r>
                        <w:rPr>
                          <w:rFonts w:cstheme="minorHAnsi"/>
                        </w:rPr>
                        <w:t>, and provides students with the opportunity to demonstrate outcomes (a) through (e) above</w:t>
                      </w:r>
                      <w:r w:rsidR="00364F44">
                        <w:rPr>
                          <w:rFonts w:cstheme="minorHAnsi"/>
                        </w:rPr>
                        <w:t>, as well as communication</w:t>
                      </w:r>
                      <w:r w:rsidRPr="001945B8">
                        <w:rPr>
                          <w:rFonts w:cstheme="minorHAnsi"/>
                        </w:rPr>
                        <w:t>.</w:t>
                      </w:r>
                      <w:r w:rsidRPr="001945B8">
                        <w:rPr>
                          <w:rFonts w:ascii="Arial" w:hAnsi="Arial" w:cs="Arial"/>
                        </w:rPr>
                        <w:t> </w:t>
                      </w:r>
                      <w:r w:rsidRPr="001945B8">
                        <w:rPr>
                          <w:rFonts w:cstheme="minorHAnsi"/>
                        </w:rPr>
                        <w:t xml:space="preserve"> Students will analyze the data sets and create</w:t>
                      </w:r>
                      <w:r w:rsidRPr="001945B8">
                        <w:rPr>
                          <w:rFonts w:ascii="Arial" w:hAnsi="Arial" w:cs="Arial"/>
                        </w:rPr>
                        <w:t> </w:t>
                      </w:r>
                      <w:r w:rsidRPr="001945B8">
                        <w:rPr>
                          <w:rFonts w:cstheme="minorHAnsi"/>
                        </w:rPr>
                        <w:t>three</w:t>
                      </w:r>
                      <w:r w:rsidRPr="001945B8">
                        <w:rPr>
                          <w:rFonts w:ascii="Arial" w:hAnsi="Arial" w:cs="Arial"/>
                        </w:rPr>
                        <w:t> </w:t>
                      </w:r>
                      <w:r w:rsidRPr="001945B8">
                        <w:rPr>
                          <w:rFonts w:cstheme="minorHAnsi"/>
                        </w:rPr>
                        <w:t xml:space="preserve">visualizations for each of the data sets (six visualizations total). </w:t>
                      </w:r>
                      <w:r>
                        <w:rPr>
                          <w:rFonts w:cstheme="minorHAnsi"/>
                        </w:rPr>
                        <w:t xml:space="preserve">Students will submit an excel file which includes </w:t>
                      </w:r>
                      <w:r w:rsidRPr="001945B8">
                        <w:rPr>
                          <w:rFonts w:cstheme="minorHAnsi"/>
                        </w:rPr>
                        <w:t>the analyzation process and calculations and tests used</w:t>
                      </w:r>
                      <w:r>
                        <w:rPr>
                          <w:rFonts w:cstheme="minorHAnsi"/>
                        </w:rPr>
                        <w:t xml:space="preserve">; </w:t>
                      </w:r>
                      <w:r w:rsidRPr="001945B8">
                        <w:rPr>
                          <w:rFonts w:cstheme="minorHAnsi"/>
                        </w:rPr>
                        <w:t xml:space="preserve">explanations of why specific inferential tests were used </w:t>
                      </w:r>
                      <w:r>
                        <w:rPr>
                          <w:rFonts w:cstheme="minorHAnsi"/>
                        </w:rPr>
                        <w:t xml:space="preserve">; </w:t>
                      </w:r>
                      <w:r w:rsidRPr="001945B8">
                        <w:rPr>
                          <w:rFonts w:cstheme="minorHAnsi"/>
                        </w:rPr>
                        <w:t>assumptions about the data and why the assumptions are appropriate</w:t>
                      </w:r>
                      <w:r>
                        <w:rPr>
                          <w:rFonts w:cstheme="minorHAnsi"/>
                        </w:rPr>
                        <w:t xml:space="preserve">; and </w:t>
                      </w:r>
                      <w:r w:rsidRPr="001945B8">
                        <w:rPr>
                          <w:rFonts w:cstheme="minorHAnsi"/>
                        </w:rPr>
                        <w:t>what conclusions may be limited by the accuracy of assumptions</w:t>
                      </w:r>
                      <w:r>
                        <w:rPr>
                          <w:rFonts w:cstheme="minorHAnsi"/>
                        </w:rPr>
                        <w:t>.</w:t>
                      </w:r>
                    </w:p>
                    <w:p w14:paraId="5651760E" w14:textId="77777777" w:rsidR="001945B8" w:rsidRDefault="001945B8" w:rsidP="001945B8">
                      <w:pPr>
                        <w:pStyle w:val="ListParagraph"/>
                        <w:shd w:val="clear" w:color="auto" w:fill="C1E4F5" w:themeFill="accent1" w:themeFillTint="33"/>
                        <w:spacing w:after="0" w:line="240" w:lineRule="auto"/>
                        <w:rPr>
                          <w:rFonts w:cstheme="minorHAnsi"/>
                        </w:rPr>
                      </w:pPr>
                    </w:p>
                    <w:p w14:paraId="7B754EE8" w14:textId="77777777" w:rsidR="00364F44" w:rsidRDefault="00364F44" w:rsidP="00364F44">
                      <w:r>
                        <w:t xml:space="preserve">The following criteria will be used to assess the project:  </w:t>
                      </w:r>
                    </w:p>
                    <w:p w14:paraId="4E9814EA" w14:textId="77777777" w:rsidR="00364F44" w:rsidRDefault="00364F44" w:rsidP="00364F44">
                      <w:pPr>
                        <w:spacing w:after="0"/>
                        <w:ind w:left="720"/>
                      </w:pPr>
                      <w:r>
                        <w:t xml:space="preserve">1. Interpretation.  Are the data visualizations explained in their placement?    </w:t>
                      </w:r>
                    </w:p>
                    <w:p w14:paraId="3B672CD3" w14:textId="77777777" w:rsidR="00364F44" w:rsidRDefault="00364F44" w:rsidP="00364F44">
                      <w:pPr>
                        <w:spacing w:after="0"/>
                        <w:ind w:left="720"/>
                      </w:pPr>
                      <w:r>
                        <w:t xml:space="preserve">2. Representation. Do the visualizations appropriately represent the results of statistical analyses?   </w:t>
                      </w:r>
                    </w:p>
                    <w:p w14:paraId="002F7000" w14:textId="77777777" w:rsidR="00364F44" w:rsidRDefault="00364F44" w:rsidP="00364F44">
                      <w:pPr>
                        <w:spacing w:after="0"/>
                        <w:ind w:left="720"/>
                      </w:pPr>
                      <w:r>
                        <w:t xml:space="preserve">3. Calculations. Were calculations successful and sufficiently comprehensive for the text?   </w:t>
                      </w:r>
                    </w:p>
                    <w:p w14:paraId="36E85F35" w14:textId="77777777" w:rsidR="00364F44" w:rsidRDefault="00364F44" w:rsidP="00364F44">
                      <w:pPr>
                        <w:spacing w:after="0"/>
                        <w:ind w:left="720"/>
                      </w:pPr>
                      <w:r>
                        <w:t xml:space="preserve">4.  Application/Analysis.  Were appropriate statistical tests used?  Were appropriate visualizations used?   </w:t>
                      </w:r>
                    </w:p>
                    <w:p w14:paraId="0B99385E" w14:textId="77777777" w:rsidR="00364F44" w:rsidRDefault="00364F44" w:rsidP="00364F44">
                      <w:pPr>
                        <w:spacing w:after="0"/>
                        <w:ind w:left="720"/>
                      </w:pPr>
                      <w:r>
                        <w:t xml:space="preserve">5.  Assumptions. Did assumptions appropriately align with the text?   </w:t>
                      </w:r>
                    </w:p>
                    <w:p w14:paraId="10143449" w14:textId="77777777" w:rsidR="00364F44" w:rsidRDefault="00364F44" w:rsidP="00364F44">
                      <w:pPr>
                        <w:spacing w:after="0"/>
                        <w:ind w:left="720"/>
                      </w:pPr>
                      <w:r>
                        <w:t>6.  Communication.  Did the visualizations support the text appropriately?</w:t>
                      </w:r>
                    </w:p>
                    <w:p w14:paraId="0B737179" w14:textId="77777777" w:rsidR="001945B8" w:rsidRPr="001945B8" w:rsidRDefault="001945B8" w:rsidP="00364F44">
                      <w:pPr>
                        <w:shd w:val="clear" w:color="auto" w:fill="C1E4F5" w:themeFill="accent1" w:themeFillTint="33"/>
                        <w:spacing w:after="0" w:line="240" w:lineRule="auto"/>
                        <w:rPr>
                          <w:rFonts w:cstheme="minorHAnsi"/>
                        </w:rPr>
                      </w:pPr>
                    </w:p>
                  </w:txbxContent>
                </v:textbox>
                <w10:wrap type="square" anchorx="margin"/>
              </v:shape>
            </w:pict>
          </mc:Fallback>
        </mc:AlternateContent>
      </w:r>
    </w:p>
    <w:p w14:paraId="5974D9DC" w14:textId="221C4DBC" w:rsidR="001945B8" w:rsidRPr="001945B8" w:rsidRDefault="001945B8" w:rsidP="001945B8">
      <w:r>
        <w:lastRenderedPageBreak/>
        <w:t xml:space="preserve">Note that for QL-B courses </w:t>
      </w:r>
      <w:r>
        <w:rPr>
          <w:i/>
          <w:iCs/>
        </w:rPr>
        <w:t>all</w:t>
      </w:r>
      <w:r>
        <w:t xml:space="preserve"> QL-B learning outcomes (a-e, above) must be incorporated into the course. </w:t>
      </w:r>
    </w:p>
    <w:p w14:paraId="319443D2" w14:textId="1F731EA3" w:rsidR="001945B8" w:rsidRDefault="001945B8" w:rsidP="001945B8">
      <w:r>
        <w:t>In the example above the instructor chose Critical and Creative Thinking as their additional UWS Shared Goal, however you can choose below:</w:t>
      </w:r>
    </w:p>
    <w:p w14:paraId="0F526268" w14:textId="77777777" w:rsidR="001945B8" w:rsidRPr="00C56A20" w:rsidRDefault="001945B8" w:rsidP="001945B8">
      <w:pPr>
        <w:pStyle w:val="ListParagraph"/>
        <w:ind w:left="0"/>
      </w:pPr>
      <w:r>
        <w:rPr>
          <w:rFonts w:cstheme="minorHAnsi"/>
          <w:i/>
        </w:rPr>
        <w:t>†</w:t>
      </w:r>
      <w:r w:rsidRPr="00C56A20">
        <w:rPr>
          <w:b/>
          <w:u w:val="single"/>
        </w:rPr>
        <w:t>UW System Shared Learning Goals</w:t>
      </w:r>
    </w:p>
    <w:p w14:paraId="6695E4AE" w14:textId="77777777" w:rsidR="001945B8" w:rsidRPr="00C56A20" w:rsidRDefault="001945B8" w:rsidP="001945B8">
      <w:pPr>
        <w:pStyle w:val="ListParagraph"/>
        <w:ind w:left="0"/>
      </w:pPr>
      <w:r w:rsidRPr="00C56A20">
        <w:t xml:space="preserve">Select </w:t>
      </w:r>
      <w:r w:rsidRPr="00D20A8E">
        <w:rPr>
          <w:b/>
          <w:bCs/>
        </w:rPr>
        <w:t xml:space="preserve">one </w:t>
      </w:r>
      <w:r>
        <w:t xml:space="preserve">additional </w:t>
      </w:r>
      <w:r w:rsidRPr="00C56A20">
        <w:t>learning objective from the options below that will be assessed in your class.</w:t>
      </w:r>
      <w:r>
        <w:t xml:space="preserve">  Note that </w:t>
      </w:r>
      <w:r w:rsidRPr="00D20A8E">
        <w:rPr>
          <w:u w:val="single"/>
        </w:rPr>
        <w:t>Goal 1 is assumed to already be met by all GER courses</w:t>
      </w:r>
      <w:r>
        <w:t xml:space="preserve">, and many Cultural Diversity courses will likely also be able to assess aspects of Goal 4.  Please choose your additional UWS Shared Goal from among goals 2-5. </w:t>
      </w:r>
    </w:p>
    <w:p w14:paraId="1F72CA32" w14:textId="77777777" w:rsidR="001945B8" w:rsidRPr="00C56A20" w:rsidRDefault="001945B8" w:rsidP="001945B8">
      <w:pPr>
        <w:pStyle w:val="ListParagraph"/>
      </w:pPr>
    </w:p>
    <w:p w14:paraId="11C3919F" w14:textId="77777777" w:rsidR="001945B8" w:rsidRPr="00C56A20" w:rsidRDefault="001945B8" w:rsidP="001945B8">
      <w:pPr>
        <w:pStyle w:val="Default"/>
        <w:numPr>
          <w:ilvl w:val="0"/>
          <w:numId w:val="7"/>
        </w:numPr>
        <w:rPr>
          <w:rFonts w:asciiTheme="minorHAnsi" w:hAnsiTheme="minorHAnsi" w:cs="Times New Roman"/>
          <w:sz w:val="22"/>
          <w:szCs w:val="22"/>
        </w:rPr>
      </w:pPr>
      <w:r w:rsidRPr="00C56A20">
        <w:rPr>
          <w:rFonts w:asciiTheme="minorHAnsi" w:hAnsiTheme="minorHAnsi" w:cs="Times New Roman"/>
          <w:b/>
          <w:sz w:val="22"/>
          <w:szCs w:val="22"/>
        </w:rPr>
        <w:t>Knowledge of Human Cultures and the Natural World</w:t>
      </w:r>
      <w:r w:rsidRPr="00C56A20">
        <w:rPr>
          <w:rFonts w:asciiTheme="minorHAnsi" w:hAnsiTheme="minorHAnsi" w:cs="Times New Roman"/>
          <w:sz w:val="22"/>
          <w:szCs w:val="22"/>
        </w:rPr>
        <w:t xml:space="preserve"> including breadth of knowledge and the ability to think beyond one’s discipline, major, or area of concentration. This knowledge can be gained through the study of the arts, humanities, languages, sciences, and social sciences. </w:t>
      </w:r>
    </w:p>
    <w:p w14:paraId="16B62FBF" w14:textId="77777777" w:rsidR="001945B8" w:rsidRPr="00C56A20" w:rsidRDefault="001945B8" w:rsidP="001945B8">
      <w:pPr>
        <w:pStyle w:val="Default"/>
        <w:numPr>
          <w:ilvl w:val="0"/>
          <w:numId w:val="7"/>
        </w:numPr>
        <w:rPr>
          <w:rFonts w:asciiTheme="minorHAnsi" w:hAnsiTheme="minorHAnsi" w:cs="Times New Roman"/>
          <w:sz w:val="22"/>
          <w:szCs w:val="22"/>
        </w:rPr>
      </w:pPr>
      <w:r w:rsidRPr="00C56A20">
        <w:rPr>
          <w:rFonts w:asciiTheme="minorHAnsi" w:hAnsiTheme="minorHAnsi" w:cs="Times New Roman"/>
          <w:b/>
          <w:sz w:val="22"/>
          <w:szCs w:val="22"/>
        </w:rPr>
        <w:t>Critical and Creative Thinking Skills</w:t>
      </w:r>
      <w:r w:rsidRPr="00C56A20">
        <w:rPr>
          <w:rFonts w:asciiTheme="minorHAnsi" w:hAnsiTheme="minorHAnsi" w:cs="Times New Roman"/>
          <w:sz w:val="22"/>
          <w:szCs w:val="22"/>
        </w:rPr>
        <w:t xml:space="preserve"> including inquiry, problem solving, and higher-order qualitative and quantitative reasoning.</w:t>
      </w:r>
    </w:p>
    <w:p w14:paraId="66526197" w14:textId="77777777" w:rsidR="001945B8" w:rsidRPr="00C56A20" w:rsidRDefault="001945B8" w:rsidP="001945B8">
      <w:pPr>
        <w:pStyle w:val="Default"/>
        <w:numPr>
          <w:ilvl w:val="0"/>
          <w:numId w:val="7"/>
        </w:numPr>
        <w:rPr>
          <w:rFonts w:asciiTheme="minorHAnsi" w:hAnsiTheme="minorHAnsi" w:cs="Times New Roman"/>
          <w:sz w:val="22"/>
          <w:szCs w:val="22"/>
        </w:rPr>
      </w:pPr>
      <w:r w:rsidRPr="00C56A20">
        <w:rPr>
          <w:rFonts w:asciiTheme="minorHAnsi" w:hAnsiTheme="minorHAnsi" w:cs="Times New Roman"/>
          <w:b/>
          <w:sz w:val="22"/>
          <w:szCs w:val="22"/>
        </w:rPr>
        <w:t>Effective Communication Skills</w:t>
      </w:r>
      <w:r w:rsidRPr="00C56A20">
        <w:rPr>
          <w:rFonts w:asciiTheme="minorHAnsi" w:hAnsiTheme="minorHAnsi" w:cs="Times New Roman"/>
          <w:sz w:val="22"/>
          <w:szCs w:val="22"/>
        </w:rPr>
        <w:t xml:space="preserve"> including listening, speaking, reading, writing, and information literacy.</w:t>
      </w:r>
    </w:p>
    <w:p w14:paraId="0176C855" w14:textId="77777777" w:rsidR="001945B8" w:rsidRPr="00C56A20" w:rsidRDefault="001945B8" w:rsidP="001945B8">
      <w:pPr>
        <w:pStyle w:val="Default"/>
        <w:numPr>
          <w:ilvl w:val="0"/>
          <w:numId w:val="7"/>
        </w:numPr>
        <w:rPr>
          <w:rFonts w:asciiTheme="minorHAnsi" w:hAnsiTheme="minorHAnsi" w:cs="Times New Roman"/>
          <w:sz w:val="22"/>
          <w:szCs w:val="22"/>
        </w:rPr>
      </w:pPr>
      <w:r w:rsidRPr="00C56A20">
        <w:rPr>
          <w:rFonts w:asciiTheme="minorHAnsi" w:hAnsiTheme="minorHAnsi" w:cs="Times New Roman"/>
          <w:b/>
          <w:sz w:val="22"/>
          <w:szCs w:val="22"/>
        </w:rPr>
        <w:t>Intercultural Knowledge and Competence</w:t>
      </w:r>
      <w:r w:rsidRPr="00C56A20">
        <w:rPr>
          <w:rFonts w:asciiTheme="minorHAnsi" w:hAnsiTheme="minorHAnsi" w:cs="Times New Roman"/>
          <w:sz w:val="22"/>
          <w:szCs w:val="22"/>
        </w:rPr>
        <w:t xml:space="preserve"> including the ability to interact and work with people from diverse backgrounds and cultures; to lead or contribute support to those who lead; and to empathize with and understand those who are different than they are.</w:t>
      </w:r>
    </w:p>
    <w:p w14:paraId="44F01CA0" w14:textId="77777777" w:rsidR="001945B8" w:rsidRPr="00C56A20" w:rsidRDefault="001945B8" w:rsidP="001945B8">
      <w:pPr>
        <w:pStyle w:val="Default"/>
        <w:numPr>
          <w:ilvl w:val="0"/>
          <w:numId w:val="7"/>
        </w:numPr>
        <w:rPr>
          <w:rFonts w:asciiTheme="minorHAnsi" w:hAnsiTheme="minorHAnsi" w:cs="Times New Roman"/>
          <w:sz w:val="22"/>
          <w:szCs w:val="22"/>
        </w:rPr>
      </w:pPr>
      <w:r w:rsidRPr="00C56A20">
        <w:rPr>
          <w:rFonts w:asciiTheme="minorHAnsi" w:hAnsiTheme="minorHAnsi" w:cs="Times New Roman"/>
          <w:b/>
          <w:sz w:val="22"/>
          <w:szCs w:val="22"/>
        </w:rPr>
        <w:t>Individual, Social, and Environmental Responsibility</w:t>
      </w:r>
      <w:r w:rsidRPr="00C56A20">
        <w:rPr>
          <w:rFonts w:asciiTheme="minorHAnsi" w:hAnsiTheme="minorHAnsi" w:cs="Times New Roman"/>
          <w:sz w:val="22"/>
          <w:szCs w:val="22"/>
        </w:rPr>
        <w:t xml:space="preserve"> including civic knowledge and engagement (both local and global), ethical reasoning, and acti</w:t>
      </w:r>
      <w:r>
        <w:rPr>
          <w:rFonts w:asciiTheme="minorHAnsi" w:hAnsiTheme="minorHAnsi" w:cs="Times New Roman"/>
          <w:sz w:val="22"/>
          <w:szCs w:val="22"/>
        </w:rPr>
        <w:t>on.</w:t>
      </w:r>
    </w:p>
    <w:p w14:paraId="4A87055C" w14:textId="77777777" w:rsidR="001945B8" w:rsidRDefault="001945B8" w:rsidP="001945B8">
      <w:pPr>
        <w:pStyle w:val="ListParagraph"/>
        <w:ind w:left="360"/>
      </w:pPr>
    </w:p>
    <w:p w14:paraId="7700B8D7" w14:textId="77777777" w:rsidR="00FC368A" w:rsidRDefault="00FC368A"/>
    <w:p w14:paraId="14D84566" w14:textId="77777777" w:rsidR="001945B8" w:rsidRDefault="001945B8"/>
    <w:p w14:paraId="0C2B30BC" w14:textId="77777777" w:rsidR="001945B8" w:rsidRDefault="001945B8"/>
    <w:p w14:paraId="4BCF2115" w14:textId="77777777" w:rsidR="001945B8" w:rsidRDefault="001945B8"/>
    <w:p w14:paraId="605BD28A" w14:textId="77777777" w:rsidR="001945B8" w:rsidRDefault="001945B8"/>
    <w:p w14:paraId="12DC347E" w14:textId="77777777" w:rsidR="001945B8" w:rsidRDefault="001945B8"/>
    <w:p w14:paraId="5227673C" w14:textId="77777777" w:rsidR="001945B8" w:rsidRDefault="001945B8"/>
    <w:p w14:paraId="1F610B41" w14:textId="77777777" w:rsidR="001945B8" w:rsidRDefault="001945B8"/>
    <w:p w14:paraId="45B263FE" w14:textId="77777777" w:rsidR="001945B8" w:rsidRDefault="001945B8"/>
    <w:p w14:paraId="528A3D31" w14:textId="77777777" w:rsidR="001945B8" w:rsidRDefault="001945B8"/>
    <w:p w14:paraId="52C406B2" w14:textId="77777777" w:rsidR="001945B8" w:rsidRDefault="001945B8"/>
    <w:p w14:paraId="0498D404" w14:textId="77777777" w:rsidR="001945B8" w:rsidRDefault="001945B8"/>
    <w:sectPr w:rsidR="00194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Univers LT 47 CondensedL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75187"/>
    <w:multiLevelType w:val="hybridMultilevel"/>
    <w:tmpl w:val="E8E8C748"/>
    <w:lvl w:ilvl="0" w:tplc="D0A49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3A1A"/>
    <w:multiLevelType w:val="hybridMultilevel"/>
    <w:tmpl w:val="819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E1C14"/>
    <w:multiLevelType w:val="hybridMultilevel"/>
    <w:tmpl w:val="E506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45E80"/>
    <w:multiLevelType w:val="multilevel"/>
    <w:tmpl w:val="605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C73CF6"/>
    <w:multiLevelType w:val="multilevel"/>
    <w:tmpl w:val="E9E819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2D31FFD"/>
    <w:multiLevelType w:val="multilevel"/>
    <w:tmpl w:val="C6AC63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4E919A8"/>
    <w:multiLevelType w:val="multilevel"/>
    <w:tmpl w:val="5E8C794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67D47328"/>
    <w:multiLevelType w:val="multilevel"/>
    <w:tmpl w:val="4536A2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D3D0A1C"/>
    <w:multiLevelType w:val="hybridMultilevel"/>
    <w:tmpl w:val="F0FA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934B40"/>
    <w:multiLevelType w:val="multilevel"/>
    <w:tmpl w:val="2F7ACD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61D0DFD"/>
    <w:multiLevelType w:val="hybridMultilevel"/>
    <w:tmpl w:val="4642D43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91973CA"/>
    <w:multiLevelType w:val="multilevel"/>
    <w:tmpl w:val="9FDC54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894970531">
    <w:abstractNumId w:val="4"/>
  </w:num>
  <w:num w:numId="2" w16cid:durableId="932786534">
    <w:abstractNumId w:val="7"/>
  </w:num>
  <w:num w:numId="3" w16cid:durableId="1837987689">
    <w:abstractNumId w:val="9"/>
  </w:num>
  <w:num w:numId="4" w16cid:durableId="28648238">
    <w:abstractNumId w:val="11"/>
  </w:num>
  <w:num w:numId="5" w16cid:durableId="1019549762">
    <w:abstractNumId w:val="5"/>
  </w:num>
  <w:num w:numId="6" w16cid:durableId="697000233">
    <w:abstractNumId w:val="3"/>
  </w:num>
  <w:num w:numId="7" w16cid:durableId="1890720212">
    <w:abstractNumId w:val="6"/>
  </w:num>
  <w:num w:numId="8" w16cid:durableId="853156544">
    <w:abstractNumId w:val="8"/>
  </w:num>
  <w:num w:numId="9" w16cid:durableId="45566292">
    <w:abstractNumId w:val="0"/>
  </w:num>
  <w:num w:numId="10" w16cid:durableId="1893032533">
    <w:abstractNumId w:val="2"/>
  </w:num>
  <w:num w:numId="11" w16cid:durableId="1319723772">
    <w:abstractNumId w:val="10"/>
  </w:num>
  <w:num w:numId="12" w16cid:durableId="1320308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B8"/>
    <w:rsid w:val="001945B8"/>
    <w:rsid w:val="00364F44"/>
    <w:rsid w:val="0045070B"/>
    <w:rsid w:val="006F13D8"/>
    <w:rsid w:val="009065EB"/>
    <w:rsid w:val="00AF7179"/>
    <w:rsid w:val="00B372A1"/>
    <w:rsid w:val="00C46FBD"/>
    <w:rsid w:val="00C9640A"/>
    <w:rsid w:val="00F02BD7"/>
    <w:rsid w:val="00FC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52F4"/>
  <w15:chartTrackingRefBased/>
  <w15:docId w15:val="{C1F1C6D3-7E2E-4746-B9EB-088A83D4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45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45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45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45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45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45B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45B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45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45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5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45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45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45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45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45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45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45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45B8"/>
    <w:rPr>
      <w:rFonts w:eastAsiaTheme="majorEastAsia" w:cstheme="majorBidi"/>
      <w:color w:val="272727" w:themeColor="text1" w:themeTint="D8"/>
    </w:rPr>
  </w:style>
  <w:style w:type="paragraph" w:styleId="Title">
    <w:name w:val="Title"/>
    <w:basedOn w:val="Normal"/>
    <w:next w:val="Normal"/>
    <w:link w:val="TitleChar"/>
    <w:uiPriority w:val="10"/>
    <w:qFormat/>
    <w:rsid w:val="001945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45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45B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45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45B8"/>
    <w:pPr>
      <w:spacing w:before="160"/>
      <w:jc w:val="center"/>
    </w:pPr>
    <w:rPr>
      <w:i/>
      <w:iCs/>
      <w:color w:val="404040" w:themeColor="text1" w:themeTint="BF"/>
    </w:rPr>
  </w:style>
  <w:style w:type="character" w:customStyle="1" w:styleId="QuoteChar">
    <w:name w:val="Quote Char"/>
    <w:basedOn w:val="DefaultParagraphFont"/>
    <w:link w:val="Quote"/>
    <w:uiPriority w:val="29"/>
    <w:rsid w:val="001945B8"/>
    <w:rPr>
      <w:i/>
      <w:iCs/>
      <w:color w:val="404040" w:themeColor="text1" w:themeTint="BF"/>
    </w:rPr>
  </w:style>
  <w:style w:type="paragraph" w:styleId="ListParagraph">
    <w:name w:val="List Paragraph"/>
    <w:basedOn w:val="Normal"/>
    <w:uiPriority w:val="34"/>
    <w:qFormat/>
    <w:rsid w:val="001945B8"/>
    <w:pPr>
      <w:ind w:left="720"/>
      <w:contextualSpacing/>
    </w:pPr>
  </w:style>
  <w:style w:type="character" w:styleId="IntenseEmphasis">
    <w:name w:val="Intense Emphasis"/>
    <w:basedOn w:val="DefaultParagraphFont"/>
    <w:uiPriority w:val="21"/>
    <w:qFormat/>
    <w:rsid w:val="001945B8"/>
    <w:rPr>
      <w:i/>
      <w:iCs/>
      <w:color w:val="0F4761" w:themeColor="accent1" w:themeShade="BF"/>
    </w:rPr>
  </w:style>
  <w:style w:type="paragraph" w:styleId="IntenseQuote">
    <w:name w:val="Intense Quote"/>
    <w:basedOn w:val="Normal"/>
    <w:next w:val="Normal"/>
    <w:link w:val="IntenseQuoteChar"/>
    <w:uiPriority w:val="30"/>
    <w:qFormat/>
    <w:rsid w:val="001945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45B8"/>
    <w:rPr>
      <w:i/>
      <w:iCs/>
      <w:color w:val="0F4761" w:themeColor="accent1" w:themeShade="BF"/>
    </w:rPr>
  </w:style>
  <w:style w:type="character" w:styleId="IntenseReference">
    <w:name w:val="Intense Reference"/>
    <w:basedOn w:val="DefaultParagraphFont"/>
    <w:uiPriority w:val="32"/>
    <w:qFormat/>
    <w:rsid w:val="001945B8"/>
    <w:rPr>
      <w:b/>
      <w:bCs/>
      <w:smallCaps/>
      <w:color w:val="0F4761" w:themeColor="accent1" w:themeShade="BF"/>
      <w:spacing w:val="5"/>
    </w:rPr>
  </w:style>
  <w:style w:type="paragraph" w:customStyle="1" w:styleId="paragraph">
    <w:name w:val="paragraph"/>
    <w:basedOn w:val="Normal"/>
    <w:rsid w:val="001945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945B8"/>
  </w:style>
  <w:style w:type="character" w:customStyle="1" w:styleId="scxw9381837">
    <w:name w:val="scxw9381837"/>
    <w:basedOn w:val="DefaultParagraphFont"/>
    <w:rsid w:val="001945B8"/>
  </w:style>
  <w:style w:type="character" w:customStyle="1" w:styleId="eop">
    <w:name w:val="eop"/>
    <w:basedOn w:val="DefaultParagraphFont"/>
    <w:rsid w:val="001945B8"/>
  </w:style>
  <w:style w:type="paragraph" w:customStyle="1" w:styleId="Default">
    <w:name w:val="Default"/>
    <w:rsid w:val="001945B8"/>
    <w:pPr>
      <w:autoSpaceDE w:val="0"/>
      <w:autoSpaceDN w:val="0"/>
      <w:adjustRightInd w:val="0"/>
      <w:spacing w:after="0" w:line="240" w:lineRule="auto"/>
    </w:pPr>
    <w:rPr>
      <w:rFonts w:ascii="Univers LT 47 CondensedLt" w:eastAsia="Calibri" w:hAnsi="Univers LT 47 CondensedLt" w:cs="Univers LT 47 CondensedLt"/>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9115755">
      <w:bodyDiv w:val="1"/>
      <w:marLeft w:val="0"/>
      <w:marRight w:val="0"/>
      <w:marTop w:val="0"/>
      <w:marBottom w:val="0"/>
      <w:divBdr>
        <w:top w:val="none" w:sz="0" w:space="0" w:color="auto"/>
        <w:left w:val="none" w:sz="0" w:space="0" w:color="auto"/>
        <w:bottom w:val="none" w:sz="0" w:space="0" w:color="auto"/>
        <w:right w:val="none" w:sz="0" w:space="0" w:color="auto"/>
      </w:divBdr>
      <w:divsChild>
        <w:div w:id="618688690">
          <w:marLeft w:val="0"/>
          <w:marRight w:val="0"/>
          <w:marTop w:val="0"/>
          <w:marBottom w:val="0"/>
          <w:divBdr>
            <w:top w:val="none" w:sz="0" w:space="0" w:color="auto"/>
            <w:left w:val="none" w:sz="0" w:space="0" w:color="auto"/>
            <w:bottom w:val="none" w:sz="0" w:space="0" w:color="auto"/>
            <w:right w:val="none" w:sz="0" w:space="0" w:color="auto"/>
          </w:divBdr>
          <w:divsChild>
            <w:div w:id="1429888277">
              <w:marLeft w:val="0"/>
              <w:marRight w:val="0"/>
              <w:marTop w:val="0"/>
              <w:marBottom w:val="0"/>
              <w:divBdr>
                <w:top w:val="none" w:sz="0" w:space="0" w:color="auto"/>
                <w:left w:val="none" w:sz="0" w:space="0" w:color="auto"/>
                <w:bottom w:val="none" w:sz="0" w:space="0" w:color="auto"/>
                <w:right w:val="none" w:sz="0" w:space="0" w:color="auto"/>
              </w:divBdr>
            </w:div>
            <w:div w:id="610823107">
              <w:marLeft w:val="0"/>
              <w:marRight w:val="0"/>
              <w:marTop w:val="0"/>
              <w:marBottom w:val="0"/>
              <w:divBdr>
                <w:top w:val="none" w:sz="0" w:space="0" w:color="auto"/>
                <w:left w:val="none" w:sz="0" w:space="0" w:color="auto"/>
                <w:bottom w:val="none" w:sz="0" w:space="0" w:color="auto"/>
                <w:right w:val="none" w:sz="0" w:space="0" w:color="auto"/>
              </w:divBdr>
            </w:div>
            <w:div w:id="1489324020">
              <w:marLeft w:val="0"/>
              <w:marRight w:val="0"/>
              <w:marTop w:val="0"/>
              <w:marBottom w:val="0"/>
              <w:divBdr>
                <w:top w:val="none" w:sz="0" w:space="0" w:color="auto"/>
                <w:left w:val="none" w:sz="0" w:space="0" w:color="auto"/>
                <w:bottom w:val="none" w:sz="0" w:space="0" w:color="auto"/>
                <w:right w:val="none" w:sz="0" w:space="0" w:color="auto"/>
              </w:divBdr>
            </w:div>
            <w:div w:id="1273825810">
              <w:marLeft w:val="0"/>
              <w:marRight w:val="0"/>
              <w:marTop w:val="0"/>
              <w:marBottom w:val="0"/>
              <w:divBdr>
                <w:top w:val="none" w:sz="0" w:space="0" w:color="auto"/>
                <w:left w:val="none" w:sz="0" w:space="0" w:color="auto"/>
                <w:bottom w:val="none" w:sz="0" w:space="0" w:color="auto"/>
                <w:right w:val="none" w:sz="0" w:space="0" w:color="auto"/>
              </w:divBdr>
            </w:div>
            <w:div w:id="1364134869">
              <w:marLeft w:val="0"/>
              <w:marRight w:val="0"/>
              <w:marTop w:val="0"/>
              <w:marBottom w:val="0"/>
              <w:divBdr>
                <w:top w:val="none" w:sz="0" w:space="0" w:color="auto"/>
                <w:left w:val="none" w:sz="0" w:space="0" w:color="auto"/>
                <w:bottom w:val="none" w:sz="0" w:space="0" w:color="auto"/>
                <w:right w:val="none" w:sz="0" w:space="0" w:color="auto"/>
              </w:divBdr>
            </w:div>
            <w:div w:id="1543857925">
              <w:marLeft w:val="0"/>
              <w:marRight w:val="0"/>
              <w:marTop w:val="0"/>
              <w:marBottom w:val="0"/>
              <w:divBdr>
                <w:top w:val="none" w:sz="0" w:space="0" w:color="auto"/>
                <w:left w:val="none" w:sz="0" w:space="0" w:color="auto"/>
                <w:bottom w:val="none" w:sz="0" w:space="0" w:color="auto"/>
                <w:right w:val="none" w:sz="0" w:space="0" w:color="auto"/>
              </w:divBdr>
            </w:div>
            <w:div w:id="1645505826">
              <w:marLeft w:val="0"/>
              <w:marRight w:val="0"/>
              <w:marTop w:val="0"/>
              <w:marBottom w:val="0"/>
              <w:divBdr>
                <w:top w:val="none" w:sz="0" w:space="0" w:color="auto"/>
                <w:left w:val="none" w:sz="0" w:space="0" w:color="auto"/>
                <w:bottom w:val="none" w:sz="0" w:space="0" w:color="auto"/>
                <w:right w:val="none" w:sz="0" w:space="0" w:color="auto"/>
              </w:divBdr>
            </w:div>
            <w:div w:id="1675764519">
              <w:marLeft w:val="0"/>
              <w:marRight w:val="0"/>
              <w:marTop w:val="0"/>
              <w:marBottom w:val="0"/>
              <w:divBdr>
                <w:top w:val="none" w:sz="0" w:space="0" w:color="auto"/>
                <w:left w:val="none" w:sz="0" w:space="0" w:color="auto"/>
                <w:bottom w:val="none" w:sz="0" w:space="0" w:color="auto"/>
                <w:right w:val="none" w:sz="0" w:space="0" w:color="auto"/>
              </w:divBdr>
            </w:div>
          </w:divsChild>
        </w:div>
        <w:div w:id="2031375087">
          <w:marLeft w:val="0"/>
          <w:marRight w:val="0"/>
          <w:marTop w:val="0"/>
          <w:marBottom w:val="0"/>
          <w:divBdr>
            <w:top w:val="none" w:sz="0" w:space="0" w:color="auto"/>
            <w:left w:val="none" w:sz="0" w:space="0" w:color="auto"/>
            <w:bottom w:val="none" w:sz="0" w:space="0" w:color="auto"/>
            <w:right w:val="none" w:sz="0" w:space="0" w:color="auto"/>
          </w:divBdr>
          <w:divsChild>
            <w:div w:id="7567173">
              <w:marLeft w:val="0"/>
              <w:marRight w:val="0"/>
              <w:marTop w:val="0"/>
              <w:marBottom w:val="0"/>
              <w:divBdr>
                <w:top w:val="none" w:sz="0" w:space="0" w:color="auto"/>
                <w:left w:val="none" w:sz="0" w:space="0" w:color="auto"/>
                <w:bottom w:val="none" w:sz="0" w:space="0" w:color="auto"/>
                <w:right w:val="none" w:sz="0" w:space="0" w:color="auto"/>
              </w:divBdr>
            </w:div>
            <w:div w:id="718091425">
              <w:marLeft w:val="0"/>
              <w:marRight w:val="0"/>
              <w:marTop w:val="0"/>
              <w:marBottom w:val="0"/>
              <w:divBdr>
                <w:top w:val="none" w:sz="0" w:space="0" w:color="auto"/>
                <w:left w:val="none" w:sz="0" w:space="0" w:color="auto"/>
                <w:bottom w:val="none" w:sz="0" w:space="0" w:color="auto"/>
                <w:right w:val="none" w:sz="0" w:space="0" w:color="auto"/>
              </w:divBdr>
            </w:div>
            <w:div w:id="451484907">
              <w:marLeft w:val="0"/>
              <w:marRight w:val="0"/>
              <w:marTop w:val="0"/>
              <w:marBottom w:val="0"/>
              <w:divBdr>
                <w:top w:val="none" w:sz="0" w:space="0" w:color="auto"/>
                <w:left w:val="none" w:sz="0" w:space="0" w:color="auto"/>
                <w:bottom w:val="none" w:sz="0" w:space="0" w:color="auto"/>
                <w:right w:val="none" w:sz="0" w:space="0" w:color="auto"/>
              </w:divBdr>
            </w:div>
            <w:div w:id="49231165">
              <w:marLeft w:val="0"/>
              <w:marRight w:val="0"/>
              <w:marTop w:val="0"/>
              <w:marBottom w:val="0"/>
              <w:divBdr>
                <w:top w:val="none" w:sz="0" w:space="0" w:color="auto"/>
                <w:left w:val="none" w:sz="0" w:space="0" w:color="auto"/>
                <w:bottom w:val="none" w:sz="0" w:space="0" w:color="auto"/>
                <w:right w:val="none" w:sz="0" w:space="0" w:color="auto"/>
              </w:divBdr>
            </w:div>
            <w:div w:id="177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31349">
      <w:bodyDiv w:val="1"/>
      <w:marLeft w:val="0"/>
      <w:marRight w:val="0"/>
      <w:marTop w:val="0"/>
      <w:marBottom w:val="0"/>
      <w:divBdr>
        <w:top w:val="none" w:sz="0" w:space="0" w:color="auto"/>
        <w:left w:val="none" w:sz="0" w:space="0" w:color="auto"/>
        <w:bottom w:val="none" w:sz="0" w:space="0" w:color="auto"/>
        <w:right w:val="none" w:sz="0" w:space="0" w:color="auto"/>
      </w:divBdr>
      <w:divsChild>
        <w:div w:id="1524321269">
          <w:marLeft w:val="0"/>
          <w:marRight w:val="0"/>
          <w:marTop w:val="0"/>
          <w:marBottom w:val="0"/>
          <w:divBdr>
            <w:top w:val="none" w:sz="0" w:space="0" w:color="auto"/>
            <w:left w:val="none" w:sz="0" w:space="0" w:color="auto"/>
            <w:bottom w:val="none" w:sz="0" w:space="0" w:color="auto"/>
            <w:right w:val="none" w:sz="0" w:space="0" w:color="auto"/>
          </w:divBdr>
        </w:div>
        <w:div w:id="905648683">
          <w:marLeft w:val="0"/>
          <w:marRight w:val="0"/>
          <w:marTop w:val="0"/>
          <w:marBottom w:val="0"/>
          <w:divBdr>
            <w:top w:val="none" w:sz="0" w:space="0" w:color="auto"/>
            <w:left w:val="none" w:sz="0" w:space="0" w:color="auto"/>
            <w:bottom w:val="none" w:sz="0" w:space="0" w:color="auto"/>
            <w:right w:val="none" w:sz="0" w:space="0" w:color="auto"/>
          </w:divBdr>
          <w:divsChild>
            <w:div w:id="457378409">
              <w:marLeft w:val="0"/>
              <w:marRight w:val="0"/>
              <w:marTop w:val="0"/>
              <w:marBottom w:val="0"/>
              <w:divBdr>
                <w:top w:val="none" w:sz="0" w:space="0" w:color="auto"/>
                <w:left w:val="none" w:sz="0" w:space="0" w:color="auto"/>
                <w:bottom w:val="none" w:sz="0" w:space="0" w:color="auto"/>
                <w:right w:val="none" w:sz="0" w:space="0" w:color="auto"/>
              </w:divBdr>
            </w:div>
            <w:div w:id="18657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 Andrews</dc:creator>
  <cp:keywords/>
  <dc:description/>
  <cp:lastModifiedBy>Adam C Andrews</cp:lastModifiedBy>
  <cp:revision>2</cp:revision>
  <dcterms:created xsi:type="dcterms:W3CDTF">2024-04-10T13:34:00Z</dcterms:created>
  <dcterms:modified xsi:type="dcterms:W3CDTF">2024-04-10T13:48:00Z</dcterms:modified>
</cp:coreProperties>
</file>