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B6" w:rsidRPr="003D2CB6" w:rsidRDefault="003D2CB6" w:rsidP="003D2CB6">
      <w:pPr>
        <w:shd w:val="clear" w:color="auto" w:fill="FFFFFF"/>
        <w:spacing w:after="0" w:line="240" w:lineRule="auto"/>
        <w:rPr>
          <w:rFonts w:ascii="Times New Roman" w:eastAsia="Times New Roman" w:hAnsi="Times New Roman" w:cs="Times New Roman"/>
          <w:color w:val="000000"/>
          <w:sz w:val="24"/>
          <w:szCs w:val="24"/>
        </w:rPr>
      </w:pPr>
      <w:r w:rsidRPr="003D2CB6">
        <w:rPr>
          <w:rFonts w:ascii="Times New Roman" w:eastAsia="Times New Roman" w:hAnsi="Times New Roman" w:cs="Times New Roman"/>
          <w:b/>
          <w:bCs/>
          <w:color w:val="000000"/>
          <w:sz w:val="24"/>
          <w:szCs w:val="24"/>
        </w:rPr>
        <w:t>ENGLISH 877/FILMSTD 877: Seminar in Film Theory: Colonial and Postcolonial Cinemas</w:t>
      </w:r>
    </w:p>
    <w:p w:rsidR="003D2CB6" w:rsidRPr="003D2CB6" w:rsidRDefault="003D2CB6" w:rsidP="003D2CB6">
      <w:pPr>
        <w:shd w:val="clear" w:color="auto" w:fill="FFFFFF"/>
        <w:spacing w:after="0" w:line="240" w:lineRule="auto"/>
        <w:rPr>
          <w:rFonts w:ascii="Times New Roman" w:eastAsia="Times New Roman" w:hAnsi="Times New Roman" w:cs="Times New Roman"/>
          <w:color w:val="000000"/>
          <w:sz w:val="24"/>
          <w:szCs w:val="24"/>
        </w:rPr>
      </w:pPr>
      <w:r w:rsidRPr="003D2CB6">
        <w:rPr>
          <w:rFonts w:ascii="Times New Roman" w:eastAsia="Times New Roman" w:hAnsi="Times New Roman" w:cs="Times New Roman"/>
          <w:color w:val="000000"/>
          <w:sz w:val="24"/>
          <w:szCs w:val="24"/>
        </w:rPr>
        <w:t xml:space="preserve">Prof. Gilberto </w:t>
      </w:r>
      <w:proofErr w:type="spellStart"/>
      <w:r w:rsidRPr="003D2CB6">
        <w:rPr>
          <w:rFonts w:ascii="Times New Roman" w:eastAsia="Times New Roman" w:hAnsi="Times New Roman" w:cs="Times New Roman"/>
          <w:color w:val="000000"/>
          <w:sz w:val="24"/>
          <w:szCs w:val="24"/>
        </w:rPr>
        <w:t>Blasini</w:t>
      </w:r>
      <w:proofErr w:type="spellEnd"/>
    </w:p>
    <w:p w:rsidR="003D2CB6" w:rsidRPr="003D2CB6" w:rsidRDefault="003D2CB6" w:rsidP="003D2CB6">
      <w:pPr>
        <w:shd w:val="clear" w:color="auto" w:fill="FFFFFF"/>
        <w:spacing w:after="0" w:line="240" w:lineRule="auto"/>
        <w:rPr>
          <w:rFonts w:ascii="Times New Roman" w:eastAsia="Times New Roman" w:hAnsi="Times New Roman" w:cs="Times New Roman"/>
          <w:color w:val="000000"/>
          <w:sz w:val="24"/>
          <w:szCs w:val="24"/>
        </w:rPr>
      </w:pPr>
      <w:r w:rsidRPr="003D2CB6">
        <w:rPr>
          <w:rFonts w:ascii="Times New Roman" w:eastAsia="Times New Roman" w:hAnsi="Times New Roman" w:cs="Times New Roman"/>
          <w:color w:val="000000"/>
          <w:sz w:val="24"/>
          <w:szCs w:val="24"/>
        </w:rPr>
        <w:t>T 4:00-8:00pm</w:t>
      </w:r>
    </w:p>
    <w:p w:rsidR="003D2CB6" w:rsidRPr="003D2CB6" w:rsidRDefault="003D2CB6" w:rsidP="003D2CB6">
      <w:pPr>
        <w:shd w:val="clear" w:color="auto" w:fill="FFFFFF"/>
        <w:spacing w:after="0" w:line="240" w:lineRule="auto"/>
        <w:rPr>
          <w:rFonts w:ascii="Times New Roman" w:eastAsia="Times New Roman" w:hAnsi="Times New Roman" w:cs="Times New Roman"/>
          <w:color w:val="000000"/>
          <w:sz w:val="24"/>
          <w:szCs w:val="24"/>
        </w:rPr>
      </w:pPr>
      <w:r w:rsidRPr="003D2CB6">
        <w:rPr>
          <w:rFonts w:ascii="Times New Roman" w:eastAsia="Times New Roman" w:hAnsi="Times New Roman" w:cs="Times New Roman"/>
          <w:color w:val="000000"/>
          <w:sz w:val="24"/>
          <w:szCs w:val="24"/>
        </w:rPr>
        <w:t> </w:t>
      </w:r>
    </w:p>
    <w:p w:rsidR="003D2CB6" w:rsidRPr="003D2CB6" w:rsidRDefault="003D2CB6" w:rsidP="003D2CB6">
      <w:pPr>
        <w:shd w:val="clear" w:color="auto" w:fill="FFFFFF"/>
        <w:spacing w:after="0" w:line="240" w:lineRule="auto"/>
        <w:rPr>
          <w:rFonts w:ascii="Times New Roman" w:eastAsia="Times New Roman" w:hAnsi="Times New Roman" w:cs="Times New Roman"/>
          <w:color w:val="000000"/>
          <w:sz w:val="24"/>
          <w:szCs w:val="24"/>
        </w:rPr>
      </w:pPr>
      <w:r w:rsidRPr="003D2CB6">
        <w:rPr>
          <w:rFonts w:ascii="Times New Roman" w:eastAsia="Times New Roman" w:hAnsi="Times New Roman" w:cs="Times New Roman"/>
          <w:color w:val="000000"/>
          <w:sz w:val="24"/>
          <w:szCs w:val="24"/>
        </w:rPr>
        <w:t xml:space="preserve">The seminar examines the ways in which colonial and postcolonial discourses have been implicated in cinematic practices, particularly in the so-called “developing” or “third world.” The first part of the course focuses on larger theoretical perspectives for apprehending questions about colonialism and </w:t>
      </w:r>
      <w:proofErr w:type="spellStart"/>
      <w:r w:rsidRPr="003D2CB6">
        <w:rPr>
          <w:rFonts w:ascii="Times New Roman" w:eastAsia="Times New Roman" w:hAnsi="Times New Roman" w:cs="Times New Roman"/>
          <w:color w:val="000000"/>
          <w:sz w:val="24"/>
          <w:szCs w:val="24"/>
        </w:rPr>
        <w:t>postcolonialism</w:t>
      </w:r>
      <w:proofErr w:type="spellEnd"/>
      <w:r w:rsidRPr="003D2CB6">
        <w:rPr>
          <w:rFonts w:ascii="Times New Roman" w:eastAsia="Times New Roman" w:hAnsi="Times New Roman" w:cs="Times New Roman"/>
          <w:color w:val="000000"/>
          <w:sz w:val="24"/>
          <w:szCs w:val="24"/>
        </w:rPr>
        <w:t xml:space="preserve"> in general, and colonial and postcolonial cinemas in particular. Along with the study of key works by Frantz Fanon, Albert </w:t>
      </w:r>
      <w:proofErr w:type="spellStart"/>
      <w:r w:rsidRPr="003D2CB6">
        <w:rPr>
          <w:rFonts w:ascii="Times New Roman" w:eastAsia="Times New Roman" w:hAnsi="Times New Roman" w:cs="Times New Roman"/>
          <w:color w:val="000000"/>
          <w:sz w:val="24"/>
          <w:szCs w:val="24"/>
        </w:rPr>
        <w:t>Memmi</w:t>
      </w:r>
      <w:proofErr w:type="spellEnd"/>
      <w:r w:rsidRPr="003D2CB6">
        <w:rPr>
          <w:rFonts w:ascii="Times New Roman" w:eastAsia="Times New Roman" w:hAnsi="Times New Roman" w:cs="Times New Roman"/>
          <w:color w:val="000000"/>
          <w:sz w:val="24"/>
          <w:szCs w:val="24"/>
        </w:rPr>
        <w:t xml:space="preserve"> and Edward Said (and their analysis of how racism, colonialism and imperialism find articulation in society and culture), we will explore writings and manifestos by Latin American artists/filmmakers that specifically deal with questions related to cinema and its connection to culture and politics in any society. These cinematic theories and practices in post-1950s Latin America—such as </w:t>
      </w:r>
      <w:proofErr w:type="spellStart"/>
      <w:r w:rsidRPr="003D2CB6">
        <w:rPr>
          <w:rFonts w:ascii="Times New Roman" w:eastAsia="Times New Roman" w:hAnsi="Times New Roman" w:cs="Times New Roman"/>
          <w:color w:val="000000"/>
          <w:sz w:val="24"/>
          <w:szCs w:val="24"/>
        </w:rPr>
        <w:t>Solanas</w:t>
      </w:r>
      <w:proofErr w:type="spellEnd"/>
      <w:r w:rsidRPr="003D2CB6">
        <w:rPr>
          <w:rFonts w:ascii="Times New Roman" w:eastAsia="Times New Roman" w:hAnsi="Times New Roman" w:cs="Times New Roman"/>
          <w:color w:val="000000"/>
          <w:sz w:val="24"/>
          <w:szCs w:val="24"/>
        </w:rPr>
        <w:t xml:space="preserve"> and </w:t>
      </w:r>
      <w:proofErr w:type="spellStart"/>
      <w:r w:rsidRPr="003D2CB6">
        <w:rPr>
          <w:rFonts w:ascii="Times New Roman" w:eastAsia="Times New Roman" w:hAnsi="Times New Roman" w:cs="Times New Roman"/>
          <w:color w:val="000000"/>
          <w:sz w:val="24"/>
          <w:szCs w:val="24"/>
        </w:rPr>
        <w:t>Getino’s</w:t>
      </w:r>
      <w:proofErr w:type="spellEnd"/>
      <w:r w:rsidRPr="003D2CB6">
        <w:rPr>
          <w:rFonts w:ascii="Times New Roman" w:eastAsia="Times New Roman" w:hAnsi="Times New Roman" w:cs="Times New Roman"/>
          <w:color w:val="000000"/>
          <w:sz w:val="24"/>
          <w:szCs w:val="24"/>
        </w:rPr>
        <w:t xml:space="preserve"> Third Cinema in Argentina, </w:t>
      </w:r>
      <w:proofErr w:type="spellStart"/>
      <w:r w:rsidRPr="003D2CB6">
        <w:rPr>
          <w:rFonts w:ascii="Times New Roman" w:eastAsia="Times New Roman" w:hAnsi="Times New Roman" w:cs="Times New Roman"/>
          <w:color w:val="000000"/>
          <w:sz w:val="24"/>
          <w:szCs w:val="24"/>
        </w:rPr>
        <w:t>García</w:t>
      </w:r>
      <w:proofErr w:type="spellEnd"/>
      <w:r w:rsidRPr="003D2CB6">
        <w:rPr>
          <w:rFonts w:ascii="Times New Roman" w:eastAsia="Times New Roman" w:hAnsi="Times New Roman" w:cs="Times New Roman"/>
          <w:color w:val="000000"/>
          <w:sz w:val="24"/>
          <w:szCs w:val="24"/>
        </w:rPr>
        <w:t xml:space="preserve"> Espinosa’s Imperfect Cinema in Cuba, and Rocha’s Aesthetics of Hunger in Brazil—will help us understand not only the emergence and development of the term “Third Cinema,” but also its iterations during the last five decades, in Latin America and in other parts of the world (such as the US and England). From its inception, Third Cinema was constituted as a type of political and cultural intervention in societies whose formations have been directly affected by the power struggles and oppressions that the processes of colonialism and imperialism bring with them. We will trace the reception and </w:t>
      </w:r>
      <w:proofErr w:type="spellStart"/>
      <w:r w:rsidRPr="003D2CB6">
        <w:rPr>
          <w:rFonts w:ascii="Times New Roman" w:eastAsia="Times New Roman" w:hAnsi="Times New Roman" w:cs="Times New Roman"/>
          <w:color w:val="000000"/>
          <w:sz w:val="24"/>
          <w:szCs w:val="24"/>
        </w:rPr>
        <w:t>recontextualization</w:t>
      </w:r>
      <w:proofErr w:type="spellEnd"/>
      <w:r w:rsidRPr="003D2CB6">
        <w:rPr>
          <w:rFonts w:ascii="Times New Roman" w:eastAsia="Times New Roman" w:hAnsi="Times New Roman" w:cs="Times New Roman"/>
          <w:color w:val="000000"/>
          <w:sz w:val="24"/>
          <w:szCs w:val="24"/>
        </w:rPr>
        <w:t xml:space="preserve"> of these theories in US and British academia (particularly through the work of scholars such as </w:t>
      </w:r>
      <w:proofErr w:type="spellStart"/>
      <w:r w:rsidRPr="003D2CB6">
        <w:rPr>
          <w:rFonts w:ascii="Times New Roman" w:eastAsia="Times New Roman" w:hAnsi="Times New Roman" w:cs="Times New Roman"/>
          <w:color w:val="000000"/>
          <w:sz w:val="24"/>
          <w:szCs w:val="24"/>
        </w:rPr>
        <w:t>Teshome</w:t>
      </w:r>
      <w:proofErr w:type="spellEnd"/>
      <w:r w:rsidRPr="003D2CB6">
        <w:rPr>
          <w:rFonts w:ascii="Times New Roman" w:eastAsia="Times New Roman" w:hAnsi="Times New Roman" w:cs="Times New Roman"/>
          <w:color w:val="000000"/>
          <w:sz w:val="24"/>
          <w:szCs w:val="24"/>
        </w:rPr>
        <w:t xml:space="preserve"> H. Gabriel, Stuart Hall, </w:t>
      </w:r>
      <w:proofErr w:type="spellStart"/>
      <w:r w:rsidRPr="003D2CB6">
        <w:rPr>
          <w:rFonts w:ascii="Times New Roman" w:eastAsia="Times New Roman" w:hAnsi="Times New Roman" w:cs="Times New Roman"/>
          <w:color w:val="000000"/>
          <w:sz w:val="24"/>
          <w:szCs w:val="24"/>
        </w:rPr>
        <w:t>Korbena</w:t>
      </w:r>
      <w:proofErr w:type="spellEnd"/>
      <w:r w:rsidRPr="003D2CB6">
        <w:rPr>
          <w:rFonts w:ascii="Times New Roman" w:eastAsia="Times New Roman" w:hAnsi="Times New Roman" w:cs="Times New Roman"/>
          <w:color w:val="000000"/>
          <w:sz w:val="24"/>
          <w:szCs w:val="24"/>
        </w:rPr>
        <w:t xml:space="preserve"> Mercer, Hamid </w:t>
      </w:r>
      <w:proofErr w:type="spellStart"/>
      <w:r w:rsidRPr="003D2CB6">
        <w:rPr>
          <w:rFonts w:ascii="Times New Roman" w:eastAsia="Times New Roman" w:hAnsi="Times New Roman" w:cs="Times New Roman"/>
          <w:color w:val="000000"/>
          <w:sz w:val="24"/>
          <w:szCs w:val="24"/>
        </w:rPr>
        <w:t>Naficy</w:t>
      </w:r>
      <w:proofErr w:type="spellEnd"/>
      <w:r w:rsidRPr="003D2CB6">
        <w:rPr>
          <w:rFonts w:ascii="Times New Roman" w:eastAsia="Times New Roman" w:hAnsi="Times New Roman" w:cs="Times New Roman"/>
          <w:color w:val="000000"/>
          <w:sz w:val="24"/>
          <w:szCs w:val="24"/>
        </w:rPr>
        <w:t xml:space="preserve">, B. Ruby Rich, Ella </w:t>
      </w:r>
      <w:proofErr w:type="spellStart"/>
      <w:r w:rsidRPr="003D2CB6">
        <w:rPr>
          <w:rFonts w:ascii="Times New Roman" w:eastAsia="Times New Roman" w:hAnsi="Times New Roman" w:cs="Times New Roman"/>
          <w:color w:val="000000"/>
          <w:sz w:val="24"/>
          <w:szCs w:val="24"/>
        </w:rPr>
        <w:t>Shohat</w:t>
      </w:r>
      <w:proofErr w:type="spellEnd"/>
      <w:r w:rsidRPr="003D2CB6">
        <w:rPr>
          <w:rFonts w:ascii="Times New Roman" w:eastAsia="Times New Roman" w:hAnsi="Times New Roman" w:cs="Times New Roman"/>
          <w:color w:val="000000"/>
          <w:sz w:val="24"/>
          <w:szCs w:val="24"/>
        </w:rPr>
        <w:t xml:space="preserve"> and Robert </w:t>
      </w:r>
      <w:proofErr w:type="spellStart"/>
      <w:r w:rsidRPr="003D2CB6">
        <w:rPr>
          <w:rFonts w:ascii="Times New Roman" w:eastAsia="Times New Roman" w:hAnsi="Times New Roman" w:cs="Times New Roman"/>
          <w:color w:val="000000"/>
          <w:sz w:val="24"/>
          <w:szCs w:val="24"/>
        </w:rPr>
        <w:t>Stam</w:t>
      </w:r>
      <w:proofErr w:type="spellEnd"/>
      <w:r w:rsidRPr="003D2CB6">
        <w:rPr>
          <w:rFonts w:ascii="Times New Roman" w:eastAsia="Times New Roman" w:hAnsi="Times New Roman" w:cs="Times New Roman"/>
          <w:color w:val="000000"/>
          <w:sz w:val="24"/>
          <w:szCs w:val="24"/>
        </w:rPr>
        <w:t>), where Third Cinema first became both “Non-Western Cinema” and “Third World Cinema” before returning to its initial name.</w:t>
      </w:r>
    </w:p>
    <w:p w:rsidR="00476CA9" w:rsidRDefault="00476CA9">
      <w:bookmarkStart w:id="0" w:name="_GoBack"/>
      <w:bookmarkEnd w:id="0"/>
    </w:p>
    <w:sectPr w:rsidR="00476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B6"/>
    <w:rsid w:val="003D2CB6"/>
    <w:rsid w:val="0047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4E58-2348-4776-B52B-5766F255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13028">
      <w:bodyDiv w:val="1"/>
      <w:marLeft w:val="0"/>
      <w:marRight w:val="0"/>
      <w:marTop w:val="0"/>
      <w:marBottom w:val="0"/>
      <w:divBdr>
        <w:top w:val="none" w:sz="0" w:space="0" w:color="auto"/>
        <w:left w:val="none" w:sz="0" w:space="0" w:color="auto"/>
        <w:bottom w:val="none" w:sz="0" w:space="0" w:color="auto"/>
        <w:right w:val="none" w:sz="0" w:space="0" w:color="auto"/>
      </w:divBdr>
      <w:divsChild>
        <w:div w:id="2052339773">
          <w:marLeft w:val="0"/>
          <w:marRight w:val="0"/>
          <w:marTop w:val="0"/>
          <w:marBottom w:val="0"/>
          <w:divBdr>
            <w:top w:val="none" w:sz="0" w:space="0" w:color="auto"/>
            <w:left w:val="none" w:sz="0" w:space="0" w:color="auto"/>
            <w:bottom w:val="none" w:sz="0" w:space="0" w:color="auto"/>
            <w:right w:val="none" w:sz="0" w:space="0" w:color="auto"/>
          </w:divBdr>
        </w:div>
        <w:div w:id="185869898">
          <w:marLeft w:val="0"/>
          <w:marRight w:val="0"/>
          <w:marTop w:val="0"/>
          <w:marBottom w:val="0"/>
          <w:divBdr>
            <w:top w:val="none" w:sz="0" w:space="0" w:color="auto"/>
            <w:left w:val="none" w:sz="0" w:space="0" w:color="auto"/>
            <w:bottom w:val="none" w:sz="0" w:space="0" w:color="auto"/>
            <w:right w:val="none" w:sz="0" w:space="0" w:color="auto"/>
          </w:divBdr>
        </w:div>
        <w:div w:id="2127458342">
          <w:marLeft w:val="0"/>
          <w:marRight w:val="0"/>
          <w:marTop w:val="0"/>
          <w:marBottom w:val="0"/>
          <w:divBdr>
            <w:top w:val="none" w:sz="0" w:space="0" w:color="auto"/>
            <w:left w:val="none" w:sz="0" w:space="0" w:color="auto"/>
            <w:bottom w:val="none" w:sz="0" w:space="0" w:color="auto"/>
            <w:right w:val="none" w:sz="0" w:space="0" w:color="auto"/>
          </w:divBdr>
        </w:div>
        <w:div w:id="2097359191">
          <w:marLeft w:val="0"/>
          <w:marRight w:val="0"/>
          <w:marTop w:val="0"/>
          <w:marBottom w:val="0"/>
          <w:divBdr>
            <w:top w:val="none" w:sz="0" w:space="0" w:color="auto"/>
            <w:left w:val="none" w:sz="0" w:space="0" w:color="auto"/>
            <w:bottom w:val="none" w:sz="0" w:space="0" w:color="auto"/>
            <w:right w:val="none" w:sz="0" w:space="0" w:color="auto"/>
          </w:divBdr>
        </w:div>
        <w:div w:id="42869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 Pitt</dc:creator>
  <cp:keywords/>
  <dc:description/>
  <cp:lastModifiedBy>Kristin E Pitt</cp:lastModifiedBy>
  <cp:revision>1</cp:revision>
  <dcterms:created xsi:type="dcterms:W3CDTF">2017-11-16T20:35:00Z</dcterms:created>
  <dcterms:modified xsi:type="dcterms:W3CDTF">2017-11-16T20:35:00Z</dcterms:modified>
</cp:coreProperties>
</file>